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before="120" w:after="0" w:line="240" w:lineRule="auto"/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9063785" name="Доверенность_Филиал_центр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3" t="29751" r="6239" b="25504"/>
                        <a:stretch/>
                      </pic:blipFill>
                      <pic:spPr bwMode="auto">
                        <a:xfrm>
                          <a:off x="0" y="0"/>
                          <a:ext cx="6480171" cy="118744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r>
    </w:p>
    <w:p>
      <w:pPr>
        <w:pStyle w:val="1158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«УТВЕРЖДАЮ»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8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Председатель закупочной комиссии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8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АО «ДГК» 1 уровня-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8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 Заместитель Генерального директора 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8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по управлению ресурсами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8"/>
        <w:jc w:val="center"/>
        <w:spacing w:before="0"/>
        <w:widowControl w:val="off"/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r>
    </w:p>
    <w:p>
      <w:pPr>
        <w:pStyle w:val="1158"/>
        <w:jc w:val="center"/>
        <w:spacing w:before="0"/>
        <w:widowControl w:val="off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_________________ Д. А. Богонатов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</w:p>
    <w:p>
      <w:pPr>
        <w:pStyle w:val="1116"/>
        <w:ind w:left="4536"/>
        <w:keepNext/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               «___» _________________ 2026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год</w:t>
      </w:r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03"/>
        <w:ind w:left="-108" w:right="-108" w:firstLine="0"/>
        <w:jc w:val="center"/>
        <w:spacing w:before="60" w:after="60" w:line="240" w:lineRule="auto"/>
        <w:rPr>
          <w:rFonts w:ascii="Times New Roman" w:hAnsi="Times New Roman" w:eastAsia="Times New Roman" w:cs="Times New Roman"/>
          <w:i w:val="0"/>
          <w:iCs/>
          <w:sz w:val="26"/>
          <w:szCs w:val="26"/>
          <w:lang w:eastAsia="en-US"/>
        </w:rPr>
      </w:pPr>
      <w:r>
        <w:t xml:space="preserve">Аукцион</w:t>
      </w:r>
      <w:r>
        <w:t xml:space="preserve"> в электронной форме,</w:t>
      </w:r>
      <w:r>
        <w:br/>
        <w:t xml:space="preserve">участниками которого могут быть только субъекты МСП,</w:t>
      </w:r>
      <w:r>
        <w:br/>
      </w:r>
      <w:r>
        <w:t xml:space="preserve">на право заключения договора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 (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  <w:lang w:eastAsia="en-US"/>
        </w:rPr>
        <w:t xml:space="preserve">ОКПД2: 29.10.3) поставку автобуса среднего класса  для СП «Благовещенская ТЭЦ»  в г.Благовещенск в рамках реализации инвестиционного проекта (реализация проектов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6"/>
          <w:szCs w:val="26"/>
          <w:lang w:eastAsia="en-US"/>
        </w:rPr>
        <w:t xml:space="preserve">J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  <w:lang w:eastAsia="en-US"/>
        </w:rPr>
        <w:t xml:space="preserve">_505-АГ-27-194) </w:t>
      </w:r>
      <w:r>
        <w:rPr>
          <w:rFonts w:ascii="Times New Roman" w:hAnsi="Times New Roman" w:eastAsia="Times New Roman" w:cs="Times New Roman"/>
          <w:i w:val="0"/>
          <w:iCs/>
          <w:sz w:val="26"/>
          <w:szCs w:val="26"/>
          <w:lang w:eastAsia="en-US"/>
        </w:rPr>
      </w:r>
      <w:r>
        <w:rPr>
          <w:rFonts w:ascii="Times New Roman" w:hAnsi="Times New Roman" w:eastAsia="Times New Roman" w:cs="Times New Roman"/>
          <w:i w:val="0"/>
          <w:iCs/>
          <w:sz w:val="26"/>
          <w:szCs w:val="26"/>
          <w:lang w:eastAsia="en-US"/>
        </w:rPr>
      </w:r>
    </w:p>
    <w:p>
      <w:pPr>
        <w:pStyle w:val="1103"/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  <w:highlight w:val="none"/>
          <w:lang w:eastAsia="en-US"/>
        </w:rPr>
        <w:t xml:space="preserve">Лот № 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  <w:lang w:eastAsia="en-US"/>
        </w:rPr>
        <w:t xml:space="preserve">222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  <w:lang w:eastAsia="en-US"/>
        </w:rPr>
        <w:t xml:space="preserve">16038-ТПИР ОНМ-2026-ДГК</w:t>
      </w:r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white"/>
        </w:rPr>
      </w:r>
    </w:p>
    <w:p>
      <w:pPr>
        <w:pStyle w:val="1150"/>
        <w:ind w:left="0"/>
        <w:jc w:val="center"/>
        <w:spacing w:after="0" w:line="240" w:lineRule="auto"/>
        <w:rPr>
          <w:rFonts w:ascii="Times New Roman" w:hAnsi="Times New Roman"/>
          <w:bCs w:val="0"/>
          <w:i w:val="0"/>
          <w:sz w:val="26"/>
          <w:szCs w:val="26"/>
        </w:rPr>
      </w:pPr>
      <w:r>
        <w:rPr>
          <w:rFonts w:ascii="Times New Roman" w:hAnsi="Times New Roman"/>
          <w:i w:val="0"/>
          <w:iCs w:val="0"/>
          <w:sz w:val="26"/>
          <w:szCs w:val="26"/>
        </w:rPr>
      </w:r>
      <w:r>
        <w:rPr>
          <w:rFonts w:ascii="Times New Roman" w:hAnsi="Times New Roman"/>
          <w:bCs w:val="0"/>
          <w:i w:val="0"/>
          <w:sz w:val="26"/>
          <w:szCs w:val="26"/>
        </w:rPr>
      </w:r>
      <w:r>
        <w:rPr>
          <w:rFonts w:ascii="Times New Roman" w:hAnsi="Times New Roman"/>
          <w:bCs w:val="0"/>
          <w:i w:val="0"/>
          <w:sz w:val="26"/>
          <w:szCs w:val="26"/>
        </w:rPr>
      </w:r>
    </w:p>
    <w:p>
      <w:pPr>
        <w:ind w:firstLine="26"/>
        <w:jc w:val="center"/>
        <w:spacing w:line="240" w:lineRule="auto"/>
        <w:rPr>
          <w:bCs/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</w:rPr>
      </w:r>
    </w:p>
    <w:p>
      <w:pPr>
        <w:pStyle w:val="1116"/>
        <w:jc w:val="center"/>
        <w:keepNext/>
        <w:spacing w:before="240"/>
        <w:rPr>
          <w:rStyle w:val="1121"/>
        </w:rPr>
      </w:pPr>
      <w:r>
        <w:rPr>
          <w:rStyle w:val="1121"/>
        </w:rPr>
      </w:r>
      <w:r>
        <w:rPr>
          <w:rStyle w:val="1121"/>
        </w:rPr>
      </w:r>
      <w:r>
        <w:rPr>
          <w:rStyle w:val="1121"/>
        </w:rPr>
      </w:r>
    </w:p>
    <w:p>
      <w:pPr>
        <w:pStyle w:val="1115"/>
        <w:outlineLvl w:val="2"/>
      </w:pPr>
      <w:r>
        <w:t xml:space="preserve">Содержание</w:t>
      </w:r>
      <w:r/>
    </w:p>
    <w:p>
      <w:pPr>
        <w:pStyle w:val="1129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26"/>
          </w:rPr>
        </w:r>
        <w:r>
          <w:rPr>
            <w:rStyle w:val="1126"/>
          </w:rPr>
          <w:t xml:space="preserve">Сокращения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29"/>
        <w:tabs>
          <w:tab w:val="right" w:pos="9923" w:leader="none"/>
        </w:tabs>
      </w:pPr>
      <w:r/>
      <w:hyperlink w:tooltip="#_Toc2" w:anchor="_Toc2" w:history="1">
        <w:r>
          <w:rPr>
            <w:rStyle w:val="1126"/>
          </w:rPr>
        </w:r>
        <w:r>
          <w:rPr>
            <w:rStyle w:val="1126"/>
          </w:rPr>
          <w:t xml:space="preserve">Термины и определения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Основные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Статус настоящего раздела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Информация о проводимой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Правовой статус документов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Обжалование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Особые положения при проведении закупки с использованием ЭП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Прочие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требования к Участникам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Генеральные подрядчики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20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22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Общий 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22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Официальное размещение Извещения и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24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Подготовка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24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Разъяснение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Изменения </w:t>
        </w:r>
        <w:r>
          <w:rPr>
            <w:rStyle w:val="1126"/>
          </w:rPr>
          <w:t xml:space="preserve">Извещени</w:t>
        </w:r>
        <w:r>
          <w:rPr>
            <w:rStyle w:val="1126"/>
          </w:rPr>
          <w:t xml:space="preserve">я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(или)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Документаци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Подача заявок и их прием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28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Изменение и отзыв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29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первым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29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</w:t>
        </w:r>
        <w:r>
          <w:rPr>
            <w:rStyle w:val="1126"/>
          </w:rPr>
          <w:t xml:space="preserve">первых частей </w:t>
        </w:r>
        <w:r>
          <w:rPr>
            <w:rStyle w:val="1126"/>
          </w:rPr>
          <w:t xml:space="preserve">заявок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(</w:t>
        </w:r>
        <w:r>
          <w:rPr>
            <w:rStyle w:val="1126"/>
          </w:rPr>
          <w:t xml:space="preserve">отборочная стадия</w:t>
        </w:r>
        <w:r>
          <w:rPr>
            <w:rStyle w:val="1126"/>
          </w:rPr>
          <w:t xml:space="preserve">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Проведение аукциона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ко вторым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вторых частей заявок</w:t>
        </w:r>
        <w:r>
          <w:rPr>
            <w:rStyle w:val="1126"/>
          </w:rPr>
          <w:t xml:space="preserve"> (отборочная стадия)</w:t>
        </w:r>
        <w:r>
          <w:rPr>
            <w:rStyle w:val="1126"/>
          </w:rPr>
          <w:t xml:space="preserve">, в том числе (при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необходимости) проведение аккредитации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ценовым предложениям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ценовых предложений (отборочная стадия)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запросы разъяснений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Оценка и сопоставление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Применение </w:t>
        </w:r>
        <w:r>
          <w:rPr>
            <w:rStyle w:val="1126"/>
          </w:rPr>
          <w:t xml:space="preserve">законодательства о национальном режиме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37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Подведение итогов закупки (определение Победителя)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37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Признание закупки несостоявшейся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Отказ от проведения закупки</w:t>
        </w:r>
        <w:r>
          <w:rPr>
            <w:rStyle w:val="1126"/>
          </w:rPr>
          <w:t xml:space="preserve"> (отмена закупки)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</w:t>
        </w:r>
        <w:r>
          <w:rPr>
            <w:rStyle w:val="1126"/>
          </w:rPr>
          <w:t xml:space="preserve"> проведения закупки с необходимостью обеспечения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 проведения м</w:t>
        </w:r>
        <w:r>
          <w:rPr>
            <w:rStyle w:val="1126"/>
          </w:rPr>
          <w:t xml:space="preserve">ноголотов</w:t>
        </w:r>
        <w:r>
          <w:rPr>
            <w:rStyle w:val="1126"/>
          </w:rPr>
          <w:t xml:space="preserve">ой</w:t>
        </w:r>
        <w:r>
          <w:rPr>
            <w:rStyle w:val="1126"/>
          </w:rPr>
          <w:t xml:space="preserve"> закупк</w:t>
        </w:r>
        <w:r>
          <w:rPr>
            <w:rStyle w:val="1126"/>
          </w:rPr>
          <w:t xml:space="preserve">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орядок заключения </w:t>
        </w:r>
        <w:r>
          <w:rPr>
            <w:rStyle w:val="1126"/>
          </w:rPr>
          <w:t xml:space="preserve">Д</w:t>
        </w:r>
        <w:r>
          <w:rPr>
            <w:rStyle w:val="1126"/>
          </w:rPr>
          <w:t xml:space="preserve">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Заключение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Уклонение Победителя от заключения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 – Технические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Техническим требованиям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48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2 – Проект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роекту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49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3 – 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требованиям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Обязательные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Специальные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т</w:t>
        </w:r>
        <w:r>
          <w:rPr>
            <w:rStyle w:val="1126"/>
          </w:rPr>
          <w:t xml:space="preserve">ребования к Генеральным подрядчикам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4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</w:t>
        </w:r>
        <w:r>
          <w:rPr>
            <w:rStyle w:val="1126"/>
          </w:rPr>
          <w:t xml:space="preserve">м</w:t>
        </w:r>
        <w:r>
          <w:rPr>
            <w:rStyle w:val="1126"/>
          </w:rPr>
          <w:t xml:space="preserve">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55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5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Образцам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56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«Заверение об обстоятельствах»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56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6</w:t>
        </w:r>
        <w:r>
          <w:rPr>
            <w:rStyle w:val="1126"/>
          </w:rPr>
          <w:t xml:space="preserve"> –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58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58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7</w:t>
        </w:r>
        <w:r>
          <w:rPr>
            <w:rStyle w:val="1126"/>
          </w:rPr>
          <w:t xml:space="preserve"> – Отборочные критерии рассмотрения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26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26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60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61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63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26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26"/>
            <w:i w:val="0"/>
            <w:iCs w:val="0"/>
            <w:shd w:val="clear" w:color="auto" w:fill="auto"/>
          </w:rPr>
          <w:t xml:space="preserve">ок</w:t>
        </w:r>
        <w:r>
          <w:rPr>
            <w:rStyle w:val="1126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26"/>
            <w:i w:val="0"/>
            <w:iCs w:val="0"/>
            <w:shd w:val="clear" w:color="auto" w:fill="auto"/>
          </w:rPr>
          <w:t xml:space="preserve">е</w:t>
        </w:r>
        <w:r>
          <w:rPr>
            <w:rStyle w:val="1126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65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8</w:t>
        </w:r>
        <w:r>
          <w:rPr>
            <w:rStyle w:val="1126"/>
          </w:rPr>
          <w:t xml:space="preserve"> – 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67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67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9</w:t>
        </w:r>
        <w:r>
          <w:rPr>
            <w:rStyle w:val="1126"/>
          </w:rPr>
          <w:t xml:space="preserve"> – Обоснование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68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Обоснованию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68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</w:t>
        </w:r>
        <w:r>
          <w:rPr>
            <w:rStyle w:val="1126"/>
          </w:rPr>
          <w:t xml:space="preserve">0</w:t>
        </w:r>
        <w:r>
          <w:rPr>
            <w:rStyle w:val="1126"/>
          </w:rPr>
          <w:t xml:space="preserve"> – Форма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69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69</w:t>
          <w:fldChar w:fldCharType="end"/>
        </w:r>
      </w:hyperlink>
      <w:r/>
      <w:r/>
    </w:p>
    <w:p>
      <w:pPr>
        <w:pStyle w:val="1116"/>
      </w:pPr>
      <w:r>
        <w:fldChar w:fldCharType="end"/>
      </w:r>
      <w:r/>
    </w:p>
    <w:p>
      <w:pPr>
        <w:pStyle w:val="1116"/>
        <w:keepNext/>
        <w:spacing w:before="60"/>
        <w:rPr>
          <w:rStyle w:val="1147"/>
        </w:rPr>
      </w:pPr>
      <w:r>
        <w:rPr>
          <w:rStyle w:val="1147"/>
        </w:rPr>
        <w:t xml:space="preserve">[Примечание (дополнительные удобства работы с Документацией о закупке; </w:t>
      </w:r>
      <w:r>
        <w:rPr>
          <w:rStyle w:val="1147"/>
        </w:rPr>
        <w:t xml:space="preserve">Microsoft Word | </w:t>
      </w:r>
      <w:r>
        <w:rPr>
          <w:rStyle w:val="1147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47"/>
        </w:rPr>
        <w:t xml:space="preserve">):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47"/>
        </w:rPr>
        <w:t xml:space="preserve"> </w:t>
      </w:r>
      <w:r>
        <w:rPr>
          <w:rStyle w:val="1147"/>
        </w:rPr>
        <w:t xml:space="preserve">| </w:t>
      </w:r>
      <w:r>
        <w:rPr>
          <w:rStyle w:val="1147"/>
          <w:color w:val="4472c4" w:themeColor="accent1"/>
        </w:rPr>
        <w:t xml:space="preserve">включается на вкладке «Вид» опцией «Навигатор»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переход по перекрестным и другим ссылкам осуществляется левым кликом мыши с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зажатой клавишей Ctrl, обратный возврат на место в тексте, с котор</w:t>
      </w:r>
      <w:r>
        <w:rPr>
          <w:rStyle w:val="1147"/>
        </w:rPr>
        <w:t xml:space="preserve">ого</w:t>
      </w:r>
      <w:r>
        <w:rPr>
          <w:rStyle w:val="1147"/>
        </w:rPr>
        <w:t xml:space="preserve"> был </w:t>
      </w:r>
      <w:r>
        <w:rPr>
          <w:rStyle w:val="1147"/>
        </w:rPr>
        <w:t xml:space="preserve">сделан</w:t>
      </w:r>
      <w:r>
        <w:rPr>
          <w:rStyle w:val="1147"/>
        </w:rPr>
        <w:t xml:space="preserve"> переход, осуществляется нажатием стрелки влево (←) с зажатой левой клавишей Alt</w:t>
      </w:r>
      <w:r>
        <w:rPr>
          <w:rStyle w:val="1147"/>
        </w:rPr>
        <w:t xml:space="preserve"> </w:t>
      </w:r>
      <w:r>
        <w:rPr>
          <w:rStyle w:val="1147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47"/>
        </w:rPr>
        <w:t xml:space="preserve">е</w:t>
      </w:r>
      <w:r>
        <w:rPr>
          <w:rStyle w:val="1147"/>
        </w:rPr>
        <w:t xml:space="preserve"> документа (файла) в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тексте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7"/>
        </w:rPr>
        <w:t xml:space="preserve">.]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16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16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16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16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16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16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16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16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16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15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16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16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16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16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16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16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16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16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16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24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16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24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16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</w:t>
      </w:r>
      <w: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</w:t>
      </w:r>
      <w:r>
        <w:t xml:space="preserve">, в том числе индивидуальный предприниматель (за исключением физического лица, являющегося иностранным агентом в соответствии с</w:t>
      </w:r>
      <w:r>
        <w:t xml:space="preserve"> Законом</w:t>
      </w:r>
      <w:r>
        <w:t xml:space="preserve"> </w:t>
      </w:r>
      <w:r>
        <w:t xml:space="preserve">255-ФЗ)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10"/>
      </w:pPr>
      <w:r>
        <w:t xml:space="preserve"> </w:t>
      </w:r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11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12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2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</w:t>
        </w:r>
        <w:r>
          <w:rPr>
            <w:rStyle w:val="1140"/>
          </w:rPr>
          <w:t xml:space="preserve">ях (Приложение № 1)</w:t>
        </w:r>
      </w:hyperlink>
      <w:r>
        <w:rPr>
          <w:rStyle w:val="1140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</w:t>
        </w:r>
        <w:r>
          <w:rPr>
            <w:rStyle w:val="1140"/>
          </w:rPr>
          <w:t xml:space="preserve">е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12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11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37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1950"/>
        <w:gridCol w:w="726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>
          <w:trHeight w:val="1197"/>
        </w:trPr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Предмет Договора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(</w:t>
            </w:r>
            <w:r>
              <w:rPr>
                <w:sz w:val="26"/>
                <w:szCs w:val="26"/>
              </w:rPr>
              <w:t xml:space="preserve">в том числе </w:t>
            </w:r>
            <w:r>
              <w:rPr>
                <w:sz w:val="26"/>
                <w:szCs w:val="26"/>
              </w:rPr>
              <w:t xml:space="preserve">номер лота</w:t>
            </w:r>
            <w:r>
              <w:rPr>
                <w:sz w:val="26"/>
                <w:szCs w:val="26"/>
              </w:rPr>
              <w:t xml:space="preserve">)</w:t>
            </w:r>
            <w:r>
              <w:rPr>
                <w:sz w:val="26"/>
                <w:szCs w:val="26"/>
              </w:rPr>
              <w:t xml:space="preserve">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03"/>
              <w:contextualSpacing/>
              <w:ind w:left="-108" w:right="-108" w:firstLine="0"/>
              <w:jc w:val="left"/>
              <w:spacing w:before="0" w:beforeAutospacing="0" w:after="0" w:afterAutospacing="0" w:line="240" w:lineRule="auto"/>
              <w:rPr>
                <w:bCs w:val="0"/>
                <w:i w:val="0"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eastAsia="en-US"/>
              </w:rPr>
              <w:t xml:space="preserve">  </w:t>
            </w:r>
            <w:r>
              <w:rPr>
                <w:i w:val="0"/>
                <w:iCs w:val="0"/>
                <w:sz w:val="26"/>
                <w:szCs w:val="26"/>
                <w:lang w:eastAsia="en-US"/>
              </w:rPr>
              <w:t xml:space="preserve">ОКПД2 29.10.3 Поставка автобуса среднего класса для СП    </w:t>
            </w:r>
            <w:r>
              <w:rPr>
                <w:i w:val="0"/>
                <w:iCs w:val="0"/>
                <w:sz w:val="26"/>
                <w:szCs w:val="26"/>
              </w:rPr>
            </w:r>
            <w:r>
              <w:rPr>
                <w:bCs w:val="0"/>
                <w:i w:val="0"/>
                <w:iCs/>
                <w:sz w:val="26"/>
                <w:szCs w:val="26"/>
              </w:rPr>
            </w:r>
          </w:p>
          <w:p>
            <w:pPr>
              <w:contextualSpacing/>
              <w:ind w:left="-108" w:right="-108" w:firstLine="0"/>
              <w:jc w:val="left"/>
              <w:spacing w:before="0" w:beforeAutospacing="0" w:after="0" w:afterAutospacing="0" w:line="240" w:lineRule="auto"/>
              <w:rPr>
                <w:bCs w:val="0"/>
                <w:i w:val="0"/>
                <w:sz w:val="26"/>
                <w:szCs w:val="26"/>
              </w:rPr>
            </w:pPr>
            <w:r>
              <w:rPr>
                <w:i w:val="0"/>
                <w:iCs w:val="0"/>
                <w:sz w:val="26"/>
                <w:szCs w:val="26"/>
                <w:lang w:eastAsia="en-US"/>
              </w:rPr>
              <w:t xml:space="preserve">  «Благовещенская ТЭЦ», г Благовещенск в рамках реализации   </w:t>
            </w:r>
            <w:r>
              <w:rPr>
                <w:bCs/>
                <w:i w:val="0"/>
                <w:iCs w:val="0"/>
                <w:sz w:val="26"/>
                <w:szCs w:val="26"/>
              </w:rPr>
            </w:r>
            <w:r>
              <w:rPr>
                <w:bCs w:val="0"/>
                <w:i w:val="0"/>
                <w:sz w:val="26"/>
                <w:szCs w:val="26"/>
              </w:rPr>
            </w:r>
          </w:p>
          <w:p>
            <w:pPr>
              <w:contextualSpacing/>
              <w:ind w:left="-108" w:right="-108" w:firstLine="0"/>
              <w:jc w:val="left"/>
              <w:spacing w:before="60" w:after="60" w:line="240" w:lineRule="auto"/>
              <w:rPr>
                <w:bCs w:val="0"/>
                <w:i w:val="0"/>
                <w:sz w:val="26"/>
                <w:szCs w:val="26"/>
                <w:highlight w:val="none"/>
              </w:rPr>
            </w:pPr>
            <w:r>
              <w:rPr>
                <w:i w:val="0"/>
                <w:iCs w:val="0"/>
                <w:sz w:val="26"/>
                <w:szCs w:val="26"/>
                <w:lang w:eastAsia="en-US"/>
              </w:rPr>
              <w:t xml:space="preserve">   инвестиционного проекта J_505-АГ-27-194</w:t>
            </w:r>
            <w:r>
              <w:rPr>
                <w:bCs/>
                <w:i w:val="0"/>
                <w:iCs w:val="0"/>
                <w:sz w:val="26"/>
                <w:szCs w:val="26"/>
              </w:rPr>
            </w:r>
            <w:r>
              <w:rPr>
                <w:bCs w:val="0"/>
                <w:i w:val="0"/>
                <w:sz w:val="26"/>
                <w:szCs w:val="26"/>
                <w:highlight w:val="none"/>
              </w:rPr>
            </w:r>
          </w:p>
          <w:p>
            <w:pPr>
              <w:contextualSpacing/>
              <w:ind w:left="-108" w:right="-108" w:firstLine="0"/>
              <w:jc w:val="left"/>
              <w:spacing w:before="60" w:after="60" w:line="240" w:lineRule="auto"/>
              <w:rPr>
                <w:bCs w:val="0"/>
                <w:i w:val="0"/>
                <w:sz w:val="26"/>
                <w:szCs w:val="26"/>
              </w:rPr>
            </w:pPr>
            <w:r>
              <w:rPr>
                <w:i w:val="0"/>
                <w:iCs w:val="0"/>
                <w:sz w:val="26"/>
                <w:szCs w:val="26"/>
                <w:highlight w:val="none"/>
                <w:lang w:eastAsia="en-US"/>
              </w:rPr>
              <w:t xml:space="preserve">  Лот № 22216038-ТПИР ОНМ-2026-ДГК</w:t>
            </w:r>
            <w:r>
              <w:rPr>
                <w:i w:val="0"/>
                <w:iCs w:val="0"/>
                <w:sz w:val="26"/>
                <w:szCs w:val="26"/>
                <w:highlight w:val="none"/>
                <w:lang w:eastAsia="en-US"/>
              </w:rPr>
            </w:r>
            <w:r>
              <w:rPr>
                <w:bCs w:val="0"/>
                <w:i w:val="0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  <w:rPr>
                <w:highlight w:val="none"/>
              </w:rPr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Электронная площадка</w:t>
            </w:r>
            <w:r>
              <w:t xml:space="preserve">: </w:t>
            </w:r>
            <w:r>
              <w:t xml:space="preserve">Акционерное общество «Единая электронная торговая площадка» </w:t>
            </w:r>
            <w:r>
              <w:rPr>
                <w:rStyle w:val="1126"/>
              </w:rPr>
              <w:t xml:space="preserve">https://corp.roseltorg.ru</w:t>
            </w:r>
            <w:r>
              <w:t xml:space="preserve">.</w:t>
            </w:r>
            <w:r/>
          </w:p>
          <w:p>
            <w:pPr>
              <w:pStyle w:val="1103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r>
              <w:rPr>
                <w:rStyle w:val="1121"/>
                <w:highlight w:val="white"/>
              </w:rPr>
            </w:r>
            <w:hyperlink r:id="rId13" w:tooltip="http://www.roseltorg.ru/knowledge_db/docs/documents" w:history="1">
              <w:r>
                <w:rPr>
                  <w:rStyle w:val="1126"/>
                  <w:highlight w:val="white"/>
                </w:rPr>
                <w:t xml:space="preserve">www.roseltorg.ru/knowledge_db/docs/documents</w:t>
              </w:r>
              <w:r>
                <w:rPr>
                  <w:rStyle w:val="1126"/>
                  <w:highlight w:val="none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>
          <w:trHeight w:val="2445"/>
        </w:trPr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Наименование (полное):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Акционерное общество «Дальневосточная генерирующая компания»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6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Наименование (сокращенное):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АО «ДГК»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6"/>
              <w:keepNext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Место нахождения: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680000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, г. Хабаровск, ул. Фрунзе, д. 49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  <w:p>
            <w:pPr>
              <w:pStyle w:val="1116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680000,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6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Адрес электронной почты: </w:t>
            </w:r>
            <w:hyperlink r:id="rId14" w:tooltip="mailto:dgk@dgk.ru" w:history="1">
              <w:r>
                <w:rPr>
                  <w:rStyle w:val="1126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1126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@</w:t>
              </w:r>
              <w:r>
                <w:rPr>
                  <w:rStyle w:val="1126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1126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.</w:t>
              </w:r>
              <w:r>
                <w:rPr>
                  <w:rStyle w:val="1126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  <w:spacing w:before="120" w:after="120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(4212) 26-43-63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95"/>
        </w:trPr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16"/>
              <w:keepNext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16"/>
              <w:keepNext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д. 49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hyperlink r:id="rId15" w:tooltip="mailto:fedyasheva-ig@dgk.ru" w:history="1">
              <w:r>
                <w:rPr>
                  <w:rStyle w:val="1126"/>
                </w:rPr>
                <w:t xml:space="preserve">sorokoletova-as@dgk.ru</w:t>
              </w:r>
            </w:hyperlink>
            <w:r/>
            <w:r/>
          </w:p>
          <w:p>
            <w:pPr>
              <w:pStyle w:val="1158"/>
              <w:spacing w:before="120" w:after="120"/>
              <w:rPr>
                <w:b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(4212) 26-45-68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  <w:rPr>
                <w:b w:val="0"/>
                <w:bCs w:val="0"/>
                <w:sz w:val="26"/>
                <w:szCs w:val="26"/>
              </w:rPr>
            </w:pPr>
            <w:r>
              <w:rPr>
                <w:rStyle w:val="1121"/>
              </w:rPr>
            </w:r>
            <w:r>
              <w:rPr>
                <w:b w:val="0"/>
                <w:sz w:val="26"/>
                <w:szCs w:val="26"/>
              </w:rPr>
              <w:t xml:space="preserve">Конт</w:t>
            </w:r>
            <w:r>
              <w:rPr>
                <w:b w:val="0"/>
                <w:sz w:val="26"/>
                <w:szCs w:val="26"/>
              </w:rPr>
              <w:t xml:space="preserve">актное лицо (Ф.И.О.):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16"/>
            </w:pPr>
            <w:r>
              <w:rPr>
                <w:b w:val="0"/>
                <w:sz w:val="26"/>
                <w:szCs w:val="26"/>
              </w:rPr>
              <w:t xml:space="preserve">Cороколетова Анна Сергеевна</w:t>
            </w:r>
            <w:r/>
          </w:p>
          <w:p>
            <w:pPr>
              <w:pStyle w:val="1116"/>
            </w:pPr>
            <w:r>
              <w:t xml:space="preserve">Адр</w:t>
            </w:r>
            <w:r>
              <w:t xml:space="preserve">ес электронной почты: </w:t>
            </w:r>
            <w:hyperlink r:id="rId16" w:tooltip="mailto:fedyasheva-ig@dgk.ru" w:history="1">
              <w:r>
                <w:rPr>
                  <w:rStyle w:val="1126"/>
                </w:rPr>
                <w:t xml:space="preserve">sorokoletova-as@dgk.ru</w:t>
              </w:r>
            </w:hyperlink>
            <w:r/>
            <w:r/>
          </w:p>
          <w:p>
            <w:pPr>
              <w:pStyle w:val="1158"/>
              <w:spacing w:before="0" w:after="0"/>
              <w:rPr>
                <w:b/>
                <w:i w:val="0"/>
                <w:sz w:val="24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</w:t>
            </w:r>
            <w:r>
              <w:rPr>
                <w:b w:val="0"/>
                <w:sz w:val="26"/>
                <w:szCs w:val="26"/>
              </w:rPr>
              <w:t xml:space="preserve">тактный телефон: +7 (4212) 26-45-68</w:t>
            </w:r>
            <w:r>
              <w:rPr>
                <w:b/>
                <w:i w:val="0"/>
                <w:sz w:val="24"/>
                <w:shd w:val="clear" w:color="auto" w:fill="auto"/>
              </w:rPr>
            </w:r>
            <w:r>
              <w:rPr>
                <w:b/>
                <w:i w:val="0"/>
                <w:sz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«10»</w:t>
            </w:r>
            <w:r>
              <w:t xml:space="preserve"> июня</w:t>
            </w:r>
            <w:r>
              <w:t xml:space="preserve"> 2026 г.</w:t>
            </w:r>
            <w:r/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</w:rPr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НМЦ составляет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6"/>
                <w:szCs w:val="26"/>
              </w:rPr>
              <w:t xml:space="preserve">8 687 704,92</w:t>
            </w:r>
            <w:r>
              <w:rPr>
                <w:i/>
                <w:iCs/>
                <w:sz w:val="26"/>
                <w:szCs w:val="26"/>
              </w:rPr>
              <w:t xml:space="preserve">  </w:t>
            </w:r>
            <w:r>
              <w:t xml:space="preserve"> </w:t>
            </w:r>
            <w:r>
              <w:t xml:space="preserve">руб., без учета НДС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40"/>
                </w:rPr>
                <w:t xml:space="preserve">Приложени</w:t>
              </w:r>
              <w:r>
                <w:rPr>
                  <w:rStyle w:val="1140"/>
                </w:rPr>
                <w:t xml:space="preserve">и</w:t>
              </w:r>
              <w:r>
                <w:rPr>
                  <w:rStyle w:val="1140"/>
                </w:rPr>
                <w:t xml:space="preserve">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21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Шаг аукциона: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0,5% – 5,0% от НМЦ, что составляет:</w:t>
            </w:r>
            <w:r/>
          </w:p>
          <w:p>
            <w:pPr>
              <w:pStyle w:val="1116"/>
            </w:pPr>
            <w:r>
              <w:t xml:space="preserve">43 438, 52 руб. – 434 385,24</w:t>
            </w:r>
            <w:r>
              <w:t xml:space="preserve"> руб., без учета НДС.</w:t>
            </w:r>
            <w:r>
              <w:rPr>
                <w:rStyle w:val="1121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Требуется.</w:t>
            </w:r>
            <w:r/>
          </w:p>
          <w:p>
            <w:pPr>
              <w:pStyle w:val="1116"/>
            </w:pPr>
            <w:r>
              <w:t xml:space="preserve">Размер обеспечения заявок:</w:t>
            </w:r>
            <w:r/>
          </w:p>
          <w:p>
            <w:pPr>
              <w:pStyle w:val="1116"/>
            </w:pPr>
            <w:r>
              <w:rPr>
                <w:rFonts w:eastAsia="Liberation Serif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i w:val="0"/>
                <w:iCs w:val="0"/>
                <w:sz w:val="26"/>
                <w:szCs w:val="26"/>
                <w:lang w:eastAsia="en-US"/>
              </w:rPr>
              <w:t xml:space="preserve">165 327,78</w:t>
            </w:r>
            <w:r>
              <w:rPr>
                <w:i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>
              <w:t xml:space="preserve">(сто шестьдесят пять тысяч триста двадцать семь)</w:t>
            </w:r>
            <w:r>
              <w:t xml:space="preserve"> рублей 75 копеек</w:t>
            </w:r>
            <w:r>
              <w:t xml:space="preserve">, НДС не облагается.</w:t>
            </w:r>
            <w:r/>
          </w:p>
          <w:p>
            <w:pPr>
              <w:pStyle w:val="1116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16"/>
              <w:ind w:lef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16"/>
              <w:ind w:left="0" w:firstLine="0"/>
            </w:pPr>
            <w:r>
              <w:t xml:space="preserve">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  <w:rPr>
                <w:rStyle w:val="1121"/>
                <w:i w:val="0"/>
                <w:iCs w:val="0"/>
                <w:shd w:val="clear" w:color="auto" w:fill="auto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  <w:p>
            <w:pPr>
              <w:pStyle w:val="1160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60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60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60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16"/>
              <w:rPr>
                <w:rStyle w:val="1121"/>
                <w:i w:val="0"/>
                <w:iCs w:val="0"/>
                <w:shd w:val="clear" w:color="auto" w:fill="auto"/>
              </w:rPr>
            </w:pPr>
            <w:r>
              <w:rPr>
                <w:rStyle w:val="1121"/>
                <w:b/>
                <w:bCs/>
                <w:i w:val="0"/>
                <w:iCs w:val="0"/>
                <w:shd w:val="clear" w:color="auto" w:fill="auto"/>
              </w:rPr>
              <w:t xml:space="preserve">Внимание!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  <w:rPr>
                <w:sz w:val="26"/>
                <w:szCs w:val="26"/>
              </w:rPr>
            </w:pPr>
            <w:r>
              <w:rPr>
                <w:i w:val="0"/>
                <w:iCs w:val="0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Подробное предложение Участника в отношении поставляемой продукции, включая функционал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ьные характеристики (потребительские свойства), количественные и качественные характеристики продукции по параметрам эквивалентности, указанным в Технических требованиях Заказчика – по форме Технического предложения, установленной в Документации о закупке.</w:t>
            </w:r>
            <w:r>
              <w:rPr>
                <w:i w:val="0"/>
                <w:iCs w:val="0"/>
                <w:sz w:val="26"/>
                <w:szCs w:val="26"/>
                <w:highlight w:val="white"/>
              </w:rPr>
              <w:t xml:space="preserve">и может являться причиной отклонения предложения Участника.</w:t>
            </w:r>
            <w:r>
              <w:rPr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857"/>
        </w:trPr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58"/>
              <w:jc w:val="left"/>
              <w:spacing w:before="0" w:after="0"/>
              <w:rPr>
                <w:b w:val="0"/>
                <w:bCs w:val="0"/>
                <w:i/>
                <w:iCs/>
                <w:sz w:val="22"/>
                <w:szCs w:val="22"/>
              </w:rPr>
            </w:pPr>
            <w:r>
              <w:rPr>
                <w:b w:val="0"/>
                <w:i/>
                <w:iCs/>
                <w:sz w:val="22"/>
                <w:szCs w:val="22"/>
                <w:lang w:eastAsia="en-US"/>
              </w:rPr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Установлен режим запрета закупки иностранной продукц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и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и (когда национальный режим не предоставляется). Перечень продукции Приложение № 1 ПП РФ № 1875 от 23.12.2024</w:t>
            </w:r>
            <w:r>
              <w:rPr>
                <w:b w:val="0"/>
                <w:bCs w:val="0"/>
                <w:i/>
                <w:iCs/>
                <w:sz w:val="22"/>
                <w:szCs w:val="22"/>
              </w:rPr>
            </w:r>
            <w:r>
              <w:rPr>
                <w:b w:val="0"/>
                <w:bCs w:val="0"/>
                <w:i/>
                <w:iCs/>
                <w:sz w:val="22"/>
                <w:szCs w:val="22"/>
              </w:rPr>
            </w:r>
          </w:p>
          <w:p>
            <w:pPr>
              <w:pStyle w:val="1116"/>
              <w:ind w:left="0" w:right="57" w:firstLine="0"/>
              <w:spacing w:before="0" w:beforeAutospacing="0" w:after="0" w:afterAutospacing="0" w:line="240" w:lineRule="auto"/>
              <w:rPr>
                <w:i w:val="0"/>
                <w:iCs w:val="0"/>
                <w:color w:val="000000" w:themeColor="text1"/>
                <w:sz w:val="26"/>
                <w:szCs w:val="26"/>
                <w:highlight w:val="none"/>
              </w:rPr>
              <w:suppressLineNumbers w:val="0"/>
            </w:pP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начала подачи заявок:</w:t>
            </w:r>
            <w:r/>
          </w:p>
          <w:p>
            <w:pPr>
              <w:pStyle w:val="1116"/>
            </w:pPr>
            <w:r>
              <w:t xml:space="preserve">«10»</w:t>
            </w:r>
            <w:r>
              <w:t xml:space="preserve"> июня 2026 г.</w:t>
            </w:r>
            <w:r/>
          </w:p>
          <w:p>
            <w:pPr>
              <w:pStyle w:val="1116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16"/>
            </w:pPr>
            <w:r>
              <w:rPr>
                <w:b/>
                <w:bCs/>
              </w:rPr>
              <w:t xml:space="preserve">«29»</w:t>
            </w:r>
            <w:r>
              <w:rPr>
                <w:b/>
                <w:bCs/>
              </w:rPr>
              <w:t xml:space="preserve"> июня </w:t>
            </w:r>
            <w:r>
              <w:rPr>
                <w:b/>
                <w:bCs/>
              </w:rPr>
              <w:t xml:space="preserve"> 2026 г. в 16 ч. 00 мин.</w:t>
            </w:r>
            <w:r>
              <w:t xml:space="preserve"> </w:t>
            </w: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16"/>
            </w:pPr>
            <w:r>
              <w:t xml:space="preserve">«29» июня 2026г. в 16 ч. 00 мин. </w:t>
            </w:r>
            <w:r>
              <w:t xml:space="preserve">(по местному времени Организатора).</w:t>
            </w:r>
            <w:r/>
          </w:p>
          <w:p>
            <w:pPr>
              <w:pStyle w:val="1116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«08» июля 2026 г.</w:t>
            </w:r>
            <w:r/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</w:rPr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«10» июля 2026 г. в 16 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«27» июля 2026 г.</w:t>
            </w:r>
            <w:r/>
          </w:p>
          <w:p>
            <w:pPr>
              <w:pStyle w:val="1116"/>
            </w:pPr>
            <w:r>
              <w:rPr>
                <w:rStyle w:val="1121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«29» июля</w:t>
            </w:r>
            <w:r>
              <w:t xml:space="preserve"> </w:t>
            </w:r>
            <w:r>
              <w:t xml:space="preserve"> 2026 г.</w:t>
            </w:r>
            <w:r/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</w:rPr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46"/>
            </w:pPr>
            <w:r/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Один победитель.</w:t>
            </w:r>
            <w:r/>
          </w:p>
          <w:p>
            <w:pPr>
              <w:pStyle w:val="1146"/>
            </w:pPr>
            <w:r/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b/>
                <w:bCs/>
              </w:rPr>
              <w:t xml:space="preserve">Канцелярия АО «ДГК»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Почтовый адрес: </w:t>
            </w:r>
            <w:r>
              <w:t xml:space="preserve">680000 г. Хабаровск ул. Фрунзе, 49</w:t>
            </w:r>
            <w:r>
              <w:t xml:space="preserve">, 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тел. (4212) 26-42-43,  (4212) 26-41-54, </w:t>
            </w:r>
            <w:r/>
          </w:p>
          <w:p>
            <w:pPr>
              <w:pStyle w:val="1116"/>
              <w:spacing w:before="0" w:beforeAutospacing="0" w:after="0" w:afterAutospacing="0"/>
            </w:pPr>
            <w:r>
              <w:rPr>
                <w:b w:val="0"/>
                <w:sz w:val="26"/>
                <w:szCs w:val="26"/>
              </w:rPr>
              <w:t xml:space="preserve">контактное лицо указать: Зюзин</w:t>
            </w:r>
            <w:r>
              <w:rPr>
                <w:rStyle w:val="1159"/>
                <w:b w:val="0"/>
                <w:bCs w:val="0"/>
                <w:i w:val="0"/>
                <w:sz w:val="26"/>
                <w:szCs w:val="26"/>
                <w:shd w:val="clear" w:color="auto" w:fill="auto"/>
              </w:rPr>
              <w:t xml:space="preserve"> Сергей Сергеевич</w:t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  <w:r/>
          </w:p>
          <w:p>
            <w:pPr>
              <w:contextualSpacing w:val="0"/>
              <w:jc w:val="left"/>
              <w:spacing w:before="0" w:after="0" w:line="240" w:lineRule="auto"/>
              <w:rPr>
                <w:b w:val="0"/>
                <w:bCs w:val="0"/>
                <w:sz w:val="26"/>
                <w:szCs w:val="26"/>
              </w:rPr>
              <w:suppressLineNumbers w:val="0"/>
            </w:pP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16"/>
              <w:spacing w:before="0" w:beforeAutospacing="0" w:after="0" w:afterAutospacing="0"/>
            </w:pPr>
            <w:r>
              <w:rPr>
                <w:rStyle w:val="1159"/>
                <w:b w:val="0"/>
                <w:bCs w:val="0"/>
                <w:i w:val="0"/>
                <w:sz w:val="26"/>
                <w:szCs w:val="26"/>
                <w:shd w:val="clear" w:color="auto" w:fill="auto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Отсутствуют.</w:t>
            </w:r>
            <w:r/>
          </w:p>
          <w:p>
            <w:pPr>
              <w:pStyle w:val="1146"/>
            </w:pPr>
            <w:r/>
            <w:r/>
          </w:p>
        </w:tc>
      </w:tr>
      <w:tr>
        <w:tblPrEx/>
        <w:trPr>
          <w:trHeight w:val="1282"/>
        </w:trPr>
        <w:tc>
          <w:tcPr>
            <w:tcW w:w="70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6"/>
              <w:rPr>
                <w:highlight w:val="none"/>
              </w:rPr>
            </w:pPr>
            <w:r>
              <w:t xml:space="preserve">Требуется</w:t>
            </w:r>
            <w: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1f2e3c"/>
                <w:sz w:val="26"/>
                <w:szCs w:val="26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1f2e3c"/>
                <w:sz w:val="26"/>
                <w:szCs w:val="26"/>
                <w:highlight w:val="white"/>
              </w:rPr>
              <w:t xml:space="preserve">ребуется надлежащее исполнение обязательств по договору: 5 % (НДС не облагается) от суммы Договора, в соответствии с официально размещенным итоговым протоколом по результатам закупки, с учетом результатов преддоговорных переговоров (в случае проведения так</w:t>
            </w:r>
            <w:r>
              <w:rPr>
                <w:rFonts w:ascii="Times New Roman" w:hAnsi="Times New Roman" w:eastAsia="Times New Roman" w:cs="Times New Roman"/>
                <w:color w:val="1f2e3c"/>
                <w:sz w:val="26"/>
                <w:szCs w:val="26"/>
                <w:highlight w:val="white"/>
              </w:rPr>
              <w:t xml:space="preserve">овых) Срок внесения обеспечения исполнения обязательств по договору, в течение 10 (десяти) календарных дней после официальной публикации протокола по выбору победителя с учетом результатов преддоговорных переговоров (в случае таковых) в Единой информационн</w:t>
            </w:r>
            <w:r>
              <w:rPr>
                <w:rFonts w:ascii="Times New Roman" w:hAnsi="Times New Roman" w:eastAsia="Times New Roman" w:cs="Times New Roman"/>
                <w:color w:val="1f2e3c"/>
                <w:sz w:val="26"/>
                <w:szCs w:val="26"/>
                <w:highlight w:val="white"/>
              </w:rPr>
              <w:t xml:space="preserve">ой системе в сфере закупок (www.zakupki.gov.ru)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</w:tbl>
    <w:p>
      <w:pPr>
        <w:pStyle w:val="1110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11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12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12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2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Приложении № 2</w:t>
        </w:r>
      </w:hyperlink>
      <w:r>
        <w:t xml:space="preserve">.</w:t>
      </w:r>
      <w:r/>
    </w:p>
    <w:p>
      <w:pPr>
        <w:pStyle w:val="1112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40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5</w:t>
        </w:r>
      </w:hyperlink>
      <w:r>
        <w:t xml:space="preserve">.</w:t>
      </w:r>
      <w:r/>
    </w:p>
    <w:p>
      <w:pPr>
        <w:pStyle w:val="1111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12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2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2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12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12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12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12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2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1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12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12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2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13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13"/>
      </w:pPr>
      <w:r>
        <w:t xml:space="preserve">признать заявление Участника необоснованным.</w:t>
      </w:r>
      <w:r/>
    </w:p>
    <w:p>
      <w:pPr>
        <w:pStyle w:val="1112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12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13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13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16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11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12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12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12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2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12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1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12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2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12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10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11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12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12"/>
      </w:pPr>
      <w:r>
        <w:t xml:space="preserve">Однако, чтобы претендовать на победу в закупке Участник </w:t>
      </w:r>
      <w:r>
        <w:t xml:space="preserve">в целом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12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Приложении № 3</w:t>
        </w:r>
      </w:hyperlink>
      <w:r>
        <w:t xml:space="preserve">:</w:t>
      </w:r>
      <w:r/>
    </w:p>
    <w:p>
      <w:pPr>
        <w:pStyle w:val="1113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13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13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11"/>
      </w:pPr>
      <w:r/>
      <w:bookmarkStart w:id="380" w:name="_Toc14"/>
      <w:r/>
      <w:bookmarkStart w:id="63" w:name="_Ref125361702"/>
      <w:r>
        <w:t xml:space="preserve">Генеральные подрядчики</w:t>
      </w:r>
      <w:bookmarkEnd w:id="63"/>
      <w:r/>
      <w:bookmarkEnd w:id="380"/>
      <w:r/>
      <w:r/>
    </w:p>
    <w:p>
      <w:pPr>
        <w:pStyle w:val="1112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12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2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13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13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13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16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подрядчиков, 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12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12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381" w:name="_Toc15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1"/>
      <w:r/>
      <w:r/>
    </w:p>
    <w:p>
      <w:pPr>
        <w:pStyle w:val="1111"/>
      </w:pPr>
      <w:r/>
      <w:bookmarkStart w:id="382" w:name="_Toc16"/>
      <w:r/>
      <w:bookmarkStart w:id="72" w:name="_Ref126141932"/>
      <w:r>
        <w:t xml:space="preserve">Общий порядок проведения закупки</w:t>
      </w:r>
      <w:bookmarkEnd w:id="72"/>
      <w:r/>
      <w:bookmarkEnd w:id="382"/>
      <w:r/>
      <w:r/>
    </w:p>
    <w:p>
      <w:pPr>
        <w:pStyle w:val="1112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7"/>
        <w:tblW w:w="14007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E7E7E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 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 их 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trike/>
                <w:color w:val="ff0000"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E7E7E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left"/>
              <w:spacing w:before="40" w:after="40"/>
              <w:rPr>
                <w:bCs/>
                <w:strike w:val="0"/>
                <w:sz w:val="24"/>
                <w:szCs w:val="24"/>
                <w:u w:val="none"/>
              </w:rPr>
            </w:pPr>
            <w:r>
              <w:rPr>
                <w:bCs/>
                <w:strike w:val="0"/>
                <w:color w:val="ff0000"/>
                <w:sz w:val="24"/>
                <w:szCs w:val="24"/>
                <w:u w:val="none"/>
              </w:rPr>
            </w:r>
            <w:r>
              <w:rPr>
                <w:bCs/>
                <w:strike w:val="0"/>
                <w:sz w:val="24"/>
                <w:szCs w:val="24"/>
                <w:u w:val="none"/>
              </w:rPr>
            </w:r>
            <w:r>
              <w:rPr>
                <w:bCs/>
                <w:strike w:val="0"/>
                <w:sz w:val="24"/>
                <w:szCs w:val="24"/>
                <w:u w:val="none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 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982"/>
        </w:trPr>
        <w:tc>
          <w:tcPr>
            <w:tcBorders>
              <w:top w:val="single" w:color="000000" w:sz="4" w:space="0"/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7E7E7E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46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[Дополнение (в случае проведения закупки с предоставлением преференции продукции, изготовленной с использованием российского алюминия; в остальных случаях удалить всю строку таблицы, в которой находится это дополнение):]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преференций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в части использования российского алюминия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_Ref125640994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  <w:shd w:val="clear" w:color="auto" w:fill="ccecff"/>
              </w:rPr>
              <w:t xml:space="preserve">[Окончание дополнения]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9129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 на 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 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16"/>
      </w:pPr>
      <w:r/>
      <w:bookmarkStart w:id="74" w:name="_Ref125362061"/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</w:pPr>
      <w:r/>
      <w:bookmarkStart w:id="383" w:name="_Toc17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3"/>
      <w:r/>
      <w:r/>
    </w:p>
    <w:p>
      <w:pPr>
        <w:pStyle w:val="1112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12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12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12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1"/>
      </w:pPr>
      <w:r/>
      <w:bookmarkStart w:id="384" w:name="_Toc18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4"/>
      <w:r/>
      <w:r/>
    </w:p>
    <w:p>
      <w:pPr>
        <w:pStyle w:val="1112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12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2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6</w:t>
        </w:r>
        <w:r>
          <w:rPr>
            <w:rStyle w:val="1140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.</w:t>
      </w:r>
      <w:r/>
    </w:p>
    <w:p>
      <w:pPr>
        <w:pStyle w:val="1112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12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12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12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12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12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12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12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12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2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2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12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12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2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2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12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12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13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13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12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13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13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12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13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13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13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13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13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12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1"/>
      </w:pPr>
      <w:r/>
      <w:bookmarkStart w:id="385" w:name="_Toc19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5"/>
      <w:r/>
      <w:r/>
    </w:p>
    <w:p>
      <w:pPr>
        <w:pStyle w:val="1112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2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12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12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12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2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роекта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(Приложения № 2)</w:t>
        </w:r>
      </w:hyperlink>
      <w:r>
        <w:rPr>
          <w:rStyle w:val="1140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12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11"/>
      </w:pPr>
      <w:r/>
      <w:bookmarkStart w:id="386" w:name="_Toc20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6"/>
      <w:r/>
      <w:r/>
    </w:p>
    <w:p>
      <w:pPr>
        <w:pStyle w:val="1112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12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13"/>
      </w:pPr>
      <w:r>
        <w:t xml:space="preserve">рассмотрения первых частей заявок;</w:t>
      </w:r>
      <w:r/>
    </w:p>
    <w:p>
      <w:pPr>
        <w:pStyle w:val="1113"/>
      </w:pPr>
      <w:r>
        <w:t xml:space="preserve">проведения аукциона;</w:t>
      </w:r>
      <w:r/>
    </w:p>
    <w:p>
      <w:pPr>
        <w:pStyle w:val="1113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13"/>
      </w:pPr>
      <w:r>
        <w:t xml:space="preserve">подведения итогов закупки;</w:t>
      </w:r>
      <w:r/>
    </w:p>
    <w:p>
      <w:pPr>
        <w:pStyle w:val="1116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12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2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13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13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12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1"/>
      </w:pPr>
      <w:r/>
      <w:bookmarkStart w:id="387" w:name="_Toc21"/>
      <w:r/>
      <w:bookmarkStart w:id="104" w:name="_Ref125362119"/>
      <w:r>
        <w:t xml:space="preserve">Подача заявок и их прием</w:t>
      </w:r>
      <w:bookmarkEnd w:id="104"/>
      <w:r/>
      <w:bookmarkEnd w:id="387"/>
      <w:r/>
      <w:r/>
    </w:p>
    <w:p>
      <w:pPr>
        <w:pStyle w:val="1112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12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2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12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12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2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1"/>
      </w:pPr>
      <w:r/>
      <w:bookmarkStart w:id="388" w:name="_Toc22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8"/>
      <w:r/>
      <w:r/>
    </w:p>
    <w:p>
      <w:pPr>
        <w:pStyle w:val="1112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12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389" w:name="_Toc23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89"/>
      <w:r/>
      <w:r/>
    </w:p>
    <w:p>
      <w:pPr>
        <w:pStyle w:val="1112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12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11"/>
      </w:pPr>
      <w:r/>
      <w:bookmarkStart w:id="390" w:name="_Toc24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0"/>
      <w:r/>
      <w:r/>
    </w:p>
    <w:p>
      <w:pPr>
        <w:pStyle w:val="1112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</w:t>
        </w:r>
        <w:r>
          <w:rPr>
            <w:rStyle w:val="1140"/>
          </w:rPr>
          <w:t xml:space="preserve">тборочным критериям</w:t>
        </w:r>
        <w:r>
          <w:rPr>
            <w:rStyle w:val="1140"/>
          </w:rPr>
          <w:t xml:space="preserve"> рассмотрения заявок (Приложение № </w:t>
        </w:r>
        <w:r>
          <w:rPr>
            <w:rStyle w:val="1140"/>
          </w:rPr>
          <w:t xml:space="preserve">7</w:t>
        </w:r>
        <w:r>
          <w:rPr>
            <w:rStyle w:val="1140"/>
          </w:rPr>
          <w:t xml:space="preserve">)</w:t>
        </w:r>
      </w:hyperlink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12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13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24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.</w:t>
      </w:r>
      <w:r/>
    </w:p>
    <w:p>
      <w:pPr>
        <w:pStyle w:val="1113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13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2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24"/>
        </w:rPr>
        <w:footnoteReference w:id="5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13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391" w:name="_Toc25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1"/>
      <w:r/>
      <w:r/>
    </w:p>
    <w:p>
      <w:pPr>
        <w:pStyle w:val="1112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12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12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12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12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12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12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12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12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12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12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392" w:name="_Toc26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2"/>
      <w:r/>
      <w:r/>
    </w:p>
    <w:p>
      <w:pPr>
        <w:pStyle w:val="1112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12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11"/>
      </w:pPr>
      <w:r/>
      <w:bookmarkStart w:id="393" w:name="_Toc27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3"/>
      <w:r/>
      <w:r/>
    </w:p>
    <w:p>
      <w:pPr>
        <w:pStyle w:val="1112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12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13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14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13"/>
      </w:pPr>
      <w:r>
        <w:t xml:space="preserve">несоответствие Участников требованиям Документации о закупке;</w:t>
      </w:r>
      <w:r/>
    </w:p>
    <w:p>
      <w:pPr>
        <w:pStyle w:val="1113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13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24"/>
        </w:rPr>
        <w:footnoteReference w:id="6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13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394" w:name="_Toc28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4"/>
      <w:r/>
      <w:r/>
    </w:p>
    <w:p>
      <w:pPr>
        <w:pStyle w:val="1112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11"/>
      </w:pPr>
      <w:r/>
      <w:bookmarkStart w:id="395" w:name="_Toc29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5"/>
      <w:r/>
      <w:r/>
    </w:p>
    <w:p>
      <w:pPr>
        <w:pStyle w:val="1112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12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13"/>
      </w:pPr>
      <w:r>
        <w:t xml:space="preserve">в результате суммирования единичных расценок;</w:t>
      </w:r>
      <w:r/>
    </w:p>
    <w:p>
      <w:pPr>
        <w:pStyle w:val="1113"/>
      </w:pPr>
      <w:r>
        <w:t xml:space="preserve">в итогах умножения единичных расценок на объем продукции;</w:t>
      </w:r>
      <w:r/>
    </w:p>
    <w:p>
      <w:pPr>
        <w:pStyle w:val="1113"/>
      </w:pPr>
      <w:r>
        <w:t xml:space="preserve">в вычислении суммы НДС и итоговой стоимости заявки с учетом НДС;</w:t>
      </w:r>
      <w:r/>
    </w:p>
    <w:p>
      <w:pPr>
        <w:pStyle w:val="1113"/>
      </w:pPr>
      <w:r>
        <w:t xml:space="preserve">иных внутренних противоречий в составе заявки,</w:t>
      </w:r>
      <w:r/>
    </w:p>
    <w:p>
      <w:pPr>
        <w:pStyle w:val="1116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12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13"/>
      </w:pPr>
      <w:r>
        <w:t xml:space="preserve">недостоверных сведений</w:t>
      </w:r>
      <w:r>
        <w:rPr>
          <w:rStyle w:val="1124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1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13"/>
        <w:rPr>
          <w:color w:val="ff0000" w:themeColor="text1"/>
        </w:rPr>
      </w:pPr>
      <w:r>
        <w:rPr>
          <w:b w:val="0"/>
          <w:bCs w:val="0"/>
          <w:color w:val="000000" w:themeColor="text1"/>
          <w:u w:val="none"/>
        </w:rPr>
      </w:r>
      <w:bookmarkStart w:id="0" w:name="undefined"/>
      <w:r>
        <w:rPr>
          <w:b w:val="0"/>
          <w:bCs w:val="0"/>
          <w:color w:val="000000" w:themeColor="text1"/>
          <w:highlight w:val="none"/>
          <w:u w:val="none"/>
        </w:rPr>
        <w:t xml:space="preserve">несоответствие предлагаемой продукции требованиям 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 национальном режиме.</w:t>
      </w:r>
      <w:bookmarkEnd w:id="0"/>
      <w:r>
        <w:rPr>
          <w:color w:val="ff0000" w:themeColor="text1"/>
        </w:rPr>
      </w:r>
      <w:r>
        <w:rPr>
          <w:color w:val="ff0000" w:themeColor="text1"/>
        </w:rPr>
      </w:r>
    </w:p>
    <w:p>
      <w:pPr>
        <w:pStyle w:val="1112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11"/>
      </w:pPr>
      <w:r/>
      <w:bookmarkStart w:id="396" w:name="_Toc30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6"/>
      <w:r/>
      <w:r/>
    </w:p>
    <w:p>
      <w:pPr>
        <w:pStyle w:val="1112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13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14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14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14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13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13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24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12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2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12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12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397" w:name="_Toc31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7"/>
      <w:r/>
      <w:r/>
    </w:p>
    <w:p>
      <w:pPr>
        <w:pStyle w:val="1112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40"/>
          </w:rPr>
          <w:t xml:space="preserve">Порядком и критериями оценки и сопоставления заявок (Приложение № </w:t>
        </w:r>
        <w:r>
          <w:rPr>
            <w:rStyle w:val="1140"/>
          </w:rPr>
          <w:t xml:space="preserve">8</w:t>
        </w:r>
        <w:r>
          <w:rPr>
            <w:rStyle w:val="1140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13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13"/>
      </w:pPr>
      <w:r>
        <w:t xml:space="preserve">в едином базисе без учета НДС.</w:t>
      </w:r>
      <w:r/>
    </w:p>
    <w:p>
      <w:pPr>
        <w:pStyle w:val="1112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24"/>
        </w:rPr>
        <w:footnoteReference w:id="9"/>
      </w:r>
      <w:r>
        <w:t xml:space="preserve">.</w:t>
      </w:r>
      <w:r/>
    </w:p>
    <w:p>
      <w:pPr>
        <w:pStyle w:val="1112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1"/>
      </w:pPr>
      <w:r/>
      <w:bookmarkStart w:id="398" w:name="_Toc32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8"/>
      <w:r/>
      <w:r/>
    </w:p>
    <w:p>
      <w:pPr>
        <w:pStyle w:val="1112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4.12, 4.14.3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4.12, 4.14.3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24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12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1"/>
      </w:pPr>
      <w:r/>
      <w:bookmarkStart w:id="399" w:name="_Toc33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399"/>
      <w:r/>
      <w:r/>
    </w:p>
    <w:p>
      <w:pPr>
        <w:pStyle w:val="1112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2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12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12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24"/>
        </w:rPr>
        <w:footnoteReference w:id="11"/>
      </w:r>
      <w:r>
        <w:t xml:space="preserve">:</w:t>
      </w:r>
      <w:bookmarkEnd w:id="169"/>
      <w:r/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13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13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13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16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2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12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12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1"/>
      </w:pPr>
      <w:r/>
      <w:bookmarkStart w:id="400" w:name="_Toc34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0"/>
      <w:r/>
      <w:r/>
    </w:p>
    <w:p>
      <w:pPr>
        <w:pStyle w:val="1112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13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13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13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13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13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12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12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13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13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11"/>
      </w:pPr>
      <w:r/>
      <w:bookmarkStart w:id="401" w:name="_Toc35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1"/>
      <w:r/>
      <w:r/>
    </w:p>
    <w:p>
      <w:pPr>
        <w:pStyle w:val="1112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2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2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11"/>
      </w:pPr>
      <w:r/>
      <w:bookmarkStart w:id="402" w:name="_Toc36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2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12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2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2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24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12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12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12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12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13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4.21.8(л)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13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13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13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12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12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2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12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12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2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13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</w:t>
        </w:r>
      </w:hyperlink>
      <w:r>
        <w:t xml:space="preserve">).</w:t>
      </w:r>
      <w:r/>
    </w:p>
    <w:p>
      <w:pPr>
        <w:pStyle w:val="1112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13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13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13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13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13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2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1"/>
      </w:pPr>
      <w:r/>
      <w:bookmarkStart w:id="403" w:name="_Toc37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3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2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12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2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12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13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13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12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10"/>
      </w:pPr>
      <w:r/>
      <w:bookmarkStart w:id="404" w:name="_Toc38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4"/>
      <w:r/>
      <w:r/>
    </w:p>
    <w:p>
      <w:pPr>
        <w:pStyle w:val="1111"/>
      </w:pPr>
      <w:r/>
      <w:bookmarkStart w:id="405" w:name="_Toc39"/>
      <w:r/>
      <w:bookmarkStart w:id="201" w:name="_Ref125366947"/>
      <w:r/>
      <w:bookmarkStart w:id="202" w:name="_Ref125368755"/>
      <w:r>
        <w:t xml:space="preserve">Общие положения</w:t>
      </w:r>
      <w:bookmarkEnd w:id="405"/>
      <w:r/>
      <w:r/>
    </w:p>
    <w:p>
      <w:pPr>
        <w:pStyle w:val="1112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1"/>
      </w:pPr>
      <w:r/>
      <w:bookmarkStart w:id="406" w:name="_Toc40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6"/>
      <w:r/>
      <w:r/>
    </w:p>
    <w:p>
      <w:pPr>
        <w:pStyle w:val="1112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12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  <w:t xml:space="preserve"> </w:t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2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12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.</w:t>
      </w:r>
      <w:r/>
    </w:p>
    <w:p>
      <w:pPr>
        <w:pStyle w:val="1112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rPr>
          <w:rStyle w:val="1124"/>
        </w:rPr>
        <w:footnoteReference w:id="13"/>
      </w:r>
      <w:r>
        <w:t xml:space="preserve">:</w:t>
      </w:r>
      <w:bookmarkEnd w:id="209"/>
      <w:r/>
      <w:r/>
    </w:p>
    <w:p>
      <w:pPr>
        <w:pStyle w:val="1113"/>
        <w:keepNext/>
      </w:pPr>
      <w:r>
        <w:t xml:space="preserve">для юридического лица:</w:t>
      </w:r>
      <w:r/>
    </w:p>
    <w:p>
      <w:pPr>
        <w:pStyle w:val="1114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14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14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13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13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12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12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12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13"/>
      </w:pPr>
      <w:r>
        <w:t xml:space="preserve">итоговый протокол по результатам закупки;</w:t>
      </w:r>
      <w:r/>
    </w:p>
    <w:p>
      <w:pPr>
        <w:pStyle w:val="1113"/>
      </w:pPr>
      <w:r>
        <w:t xml:space="preserve">Извещение и Документация о закупке со всеми изменениями;</w:t>
      </w:r>
      <w:r/>
    </w:p>
    <w:p>
      <w:pPr>
        <w:pStyle w:val="1113"/>
      </w:pPr>
      <w:r>
        <w:t xml:space="preserve">заявка Победителя со всеми дополнениями и разъяснениями.</w:t>
      </w:r>
      <w:r/>
    </w:p>
    <w:p>
      <w:pPr>
        <w:pStyle w:val="1112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12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12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12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12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11"/>
      </w:pPr>
      <w:r/>
      <w:bookmarkStart w:id="407" w:name="_Toc41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7"/>
      <w:r/>
      <w:r/>
    </w:p>
    <w:p>
      <w:pPr>
        <w:pStyle w:val="1112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13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13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5</w:t>
        </w:r>
      </w:hyperlink>
      <w:r>
        <w:t xml:space="preserve">;</w:t>
      </w:r>
      <w:r/>
    </w:p>
    <w:p>
      <w:pPr>
        <w:pStyle w:val="1113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Приложения 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 </w:t>
        </w:r>
        <w:r>
          <w:rPr>
            <w:rStyle w:val="1140"/>
          </w:rPr>
          <w:t xml:space="preserve">– </w:t>
        </w:r>
        <w:r>
          <w:rPr>
            <w:rStyle w:val="1140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13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13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16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10"/>
      </w:pPr>
      <w:r/>
      <w:bookmarkStart w:id="408" w:name="_Toc42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8"/>
      <w:r/>
      <w:r/>
    </w:p>
    <w:p>
      <w:pPr>
        <w:pStyle w:val="1111"/>
      </w:pPr>
      <w:r/>
      <w:bookmarkStart w:id="409" w:name="_Toc43"/>
      <w:r>
        <w:t xml:space="preserve">Пояснения к Техническим требованиям</w:t>
      </w:r>
      <w:bookmarkEnd w:id="409"/>
      <w:r/>
      <w:r/>
    </w:p>
    <w:p>
      <w:pPr>
        <w:pStyle w:val="1112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10"/>
      </w:pPr>
      <w:r/>
      <w:bookmarkStart w:id="410" w:name="_Toc44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0"/>
      <w:r/>
      <w:r/>
    </w:p>
    <w:p>
      <w:pPr>
        <w:pStyle w:val="1111"/>
      </w:pPr>
      <w:r/>
      <w:bookmarkStart w:id="411" w:name="_Toc45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1"/>
      <w:r/>
      <w:r/>
    </w:p>
    <w:p>
      <w:pPr>
        <w:pStyle w:val="1112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12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12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12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16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7">
                          <a:extLst>
                            <a:ext uri="{96DAC541-7B7A-43D3-8B79-37D633B846F1}">
                              <asvg:svgBlip xmlns:asvg="http://schemas.microsoft.com/office/drawing/2016/SVG/main" r:embed="rId1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12" w:name="_Toc46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2"/>
      <w:r/>
      <w:r/>
    </w:p>
    <w:p>
      <w:pPr>
        <w:pStyle w:val="1111"/>
      </w:pPr>
      <w:r/>
      <w:bookmarkStart w:id="413" w:name="_Toc47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3"/>
      <w:r/>
      <w:r/>
    </w:p>
    <w:p>
      <w:pPr>
        <w:pStyle w:val="1112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 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11"/>
        <w:spacing w:after="120"/>
      </w:pPr>
      <w:r/>
      <w:bookmarkStart w:id="414" w:name="_Toc48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4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1</w:t>
              </w:r>
              <w:r>
                <w:rPr>
                  <w:rStyle w:val="1140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24"/>
              </w:rPr>
              <w:footnoteReference w:id="14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24"/>
              </w:rPr>
              <w:footnoteReference w:id="15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1"/>
        <w:spacing w:after="120"/>
      </w:pPr>
      <w:r/>
      <w:bookmarkStart w:id="415" w:name="_Toc49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5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0"/>
        <w:numPr>
          <w:ilvl w:val="0"/>
          <w:numId w:val="0"/>
        </w:numPr>
        <w:ind w:left="1134" w:firstLine="0"/>
      </w:pPr>
      <w:r/>
      <w:r/>
    </w:p>
    <w:p>
      <w:pPr>
        <w:pStyle w:val="1111"/>
        <w:spacing w:after="120"/>
      </w:pPr>
      <w:r/>
      <w:bookmarkStart w:id="416" w:name="_Toc50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6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17" w:name="_Toc51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7"/>
      <w:r/>
      <w:r/>
    </w:p>
    <w:p>
      <w:pPr>
        <w:pStyle w:val="1111"/>
      </w:pPr>
      <w:r/>
      <w:bookmarkStart w:id="418" w:name="_Toc52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18"/>
      <w:r/>
      <w:r/>
    </w:p>
    <w:p>
      <w:pPr>
        <w:pStyle w:val="1112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10"/>
      </w:pPr>
      <w:r/>
      <w:bookmarkStart w:id="419" w:name="_Toc53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19"/>
      <w:r/>
      <w:r/>
    </w:p>
    <w:p>
      <w:pPr>
        <w:pStyle w:val="1111"/>
      </w:pPr>
      <w:r/>
      <w:bookmarkStart w:id="420" w:name="_Toc54"/>
      <w:r>
        <w:t xml:space="preserve">Пояснения к Образцам форм документов, предоставляемых Победителем</w:t>
      </w:r>
      <w:bookmarkEnd w:id="420"/>
      <w:r/>
      <w:r/>
    </w:p>
    <w:p>
      <w:pPr>
        <w:pStyle w:val="1112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21" w:name="_Toc55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1"/>
      <w:r/>
      <w:r/>
    </w:p>
    <w:p>
      <w:pPr>
        <w:pStyle w:val="1112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2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11"/>
      </w:pPr>
      <w:r/>
      <w:bookmarkStart w:id="422" w:name="_Toc56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2"/>
      <w:r/>
      <w:r/>
    </w:p>
    <w:p>
      <w:pPr>
        <w:pStyle w:val="1112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2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12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2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/>
    </w:p>
    <w:p>
      <w:pPr>
        <w:pStyle w:val="1110"/>
      </w:pPr>
      <w:r/>
      <w:bookmarkStart w:id="423" w:name="_Toc57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3"/>
      <w:r/>
      <w:r/>
    </w:p>
    <w:p>
      <w:pPr>
        <w:pStyle w:val="1111"/>
      </w:pPr>
      <w:r/>
      <w:bookmarkStart w:id="424" w:name="_Toc58"/>
      <w:r>
        <w:t xml:space="preserve">Состав заявки</w:t>
      </w:r>
      <w:bookmarkEnd w:id="424"/>
      <w:r/>
      <w:r/>
    </w:p>
    <w:p>
      <w:pPr>
        <w:pStyle w:val="1112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</w:t>
        </w:r>
        <w:r>
          <w:rPr>
            <w:rStyle w:val="1140"/>
          </w:rPr>
          <w:t xml:space="preserve">и</w:t>
        </w:r>
        <w:r>
          <w:rPr>
            <w:rStyle w:val="1140"/>
          </w:rPr>
          <w:t xml:space="preserve">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3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12"/>
        <w:rPr>
          <w:rStyle w:val="1121"/>
          <w:i w:val="0"/>
          <w:iCs w:val="0"/>
          <w:shd w:val="clear" w:color="auto" w:fill="auto"/>
        </w:rPr>
      </w:pP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21"/>
          <w:i w:val="0"/>
          <w:iCs w:val="0"/>
          <w:shd w:val="clear" w:color="auto" w:fill="auto"/>
        </w:rPr>
        <w:t xml:space="preserve"> </w:t>
      </w:r>
      <w:r>
        <w:rPr>
          <w:rStyle w:val="1121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rPr>
          <w:rStyle w:val="1121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0"/>
      </w:pPr>
      <w:r/>
      <w:bookmarkStart w:id="425" w:name="_Toc59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5"/>
      <w:r/>
      <w:r/>
    </w:p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26" w:name="_Toc60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21"/>
          <w:i w:val="0"/>
          <w:iCs w:val="0"/>
          <w:shd w:val="clear" w:color="auto" w:fill="auto"/>
        </w:rPr>
        <w:t xml:space="preserve">первых частей </w:t>
      </w:r>
      <w:r>
        <w:rPr>
          <w:rStyle w:val="1121"/>
          <w:i w:val="0"/>
          <w:iCs w:val="0"/>
          <w:shd w:val="clear" w:color="auto" w:fill="auto"/>
        </w:rPr>
        <w:t xml:space="preserve">заявок</w:t>
      </w:r>
      <w:r>
        <w:rPr>
          <w:rStyle w:val="1121"/>
          <w:i w:val="0"/>
          <w:iCs w:val="0"/>
          <w:shd w:val="clear" w:color="auto" w:fill="auto"/>
        </w:rPr>
      </w:r>
      <w:bookmarkEnd w:id="426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27" w:name="_Toc61"/>
      <w:r/>
      <w:bookmarkStart w:id="337" w:name="_Hlk132891087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21"/>
          <w:i w:val="0"/>
          <w:iCs w:val="0"/>
          <w:shd w:val="clear" w:color="auto" w:fill="auto"/>
        </w:rPr>
      </w:r>
      <w:bookmarkEnd w:id="427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16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28" w:name="_Toc62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21"/>
          <w:i w:val="0"/>
          <w:iCs w:val="0"/>
          <w:shd w:val="clear" w:color="auto" w:fill="auto"/>
        </w:rPr>
      </w:r>
      <w:bookmarkEnd w:id="428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16"/>
              <w:jc w:val="center"/>
              <w:rPr>
                <w:rStyle w:val="1140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40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16"/>
              <w:spacing w:before="60" w:after="60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40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40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16"/>
              <w:spacing w:before="60" w:after="60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16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60" w:after="60"/>
              <w:rPr>
                <w:strike/>
                <w:color w:val="ff0000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40"/>
                <w:strike w:val="0"/>
                <w:color w:val="000000" w:themeColor="text1"/>
              </w:rPr>
              <w:t xml:space="preserve">Приложение № 1</w:t>
            </w:r>
            <w:r>
              <w:rPr>
                <w:rStyle w:val="1140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ff0000"/>
              </w:rPr>
            </w:r>
            <w:r>
              <w:rPr>
                <w:strike/>
                <w:color w:val="ff0000"/>
              </w:rPr>
            </w:r>
          </w:p>
          <w:p>
            <w:pPr>
              <w:pStyle w:val="1116"/>
              <w:jc w:val="center"/>
            </w:pPr>
            <w:r/>
            <w:r/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  <w:p>
            <w:pPr>
              <w:pStyle w:val="1116"/>
              <w:jc w:val="center"/>
            </w:pPr>
            <w:r/>
            <w:r/>
          </w:p>
        </w:tc>
      </w:tr>
      <w:tr>
        <w:tblPrEx/>
        <w:trPr>
          <w:trHeight w:val="2268"/>
        </w:trPr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16"/>
              <w:spacing w:before="60" w:after="60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40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40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16"/>
              <w:spacing w:before="60" w:after="60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60" w:after="60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40"/>
                <w:color w:val="000000" w:themeColor="text1"/>
              </w:rPr>
              <w:t xml:space="preserve">Приложение № 1</w:t>
            </w:r>
            <w:r>
              <w:rPr>
                <w:rStyle w:val="1140"/>
                <w:color w:val="000000" w:themeColor="text1"/>
              </w:rPr>
              <w:fldChar w:fldCharType="end"/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  <w:p>
            <w:pPr>
              <w:pStyle w:val="1116"/>
              <w:jc w:val="center"/>
              <w:spacing w:before="60" w:after="60"/>
              <w:rPr>
                <w:strike w:val="0"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</w:r>
            <w:r>
              <w:rPr>
                <w:strike w:val="0"/>
                <w:color w:val="000000" w:themeColor="text1"/>
              </w:rPr>
            </w:r>
            <w:r>
              <w:rPr>
                <w:strike w:val="0"/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  <w:p>
            <w:pPr>
              <w:pStyle w:val="1116"/>
              <w:jc w:val="center"/>
            </w:pPr>
            <w:r/>
            <w:r/>
          </w:p>
        </w:tc>
      </w:tr>
    </w:tbl>
    <w:p>
      <w:pPr>
        <w:pStyle w:val="1111"/>
        <w:rPr>
          <w:rStyle w:val="1121"/>
          <w:i w:val="0"/>
          <w:iCs w:val="0"/>
          <w:shd w:val="clear" w:color="auto" w:fill="auto"/>
        </w:rPr>
      </w:pPr>
      <w:r/>
      <w:bookmarkStart w:id="429" w:name="_Toc63"/>
      <w:r>
        <w:rPr>
          <w:rStyle w:val="1121"/>
          <w:i w:val="0"/>
          <w:iCs w:val="0"/>
          <w:shd w:val="clear" w:color="auto" w:fill="auto"/>
        </w:rPr>
        <w:t xml:space="preserve">Дополнительные</w:t>
      </w:r>
      <w:r>
        <w:rPr>
          <w:rStyle w:val="1121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21"/>
          <w:i w:val="0"/>
          <w:iCs w:val="0"/>
          <w:shd w:val="clear" w:color="auto" w:fill="auto"/>
        </w:rPr>
        <w:t xml:space="preserve">ок</w:t>
      </w:r>
      <w:r>
        <w:rPr>
          <w:rStyle w:val="1121"/>
          <w:i w:val="0"/>
          <w:iCs w:val="0"/>
          <w:shd w:val="clear" w:color="auto" w:fill="auto"/>
        </w:rPr>
        <w:t xml:space="preserve"> на соответстви</w:t>
      </w: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21"/>
          <w:i w:val="0"/>
          <w:iCs w:val="0"/>
          <w:shd w:val="clear" w:color="auto" w:fill="auto"/>
        </w:rPr>
      </w:r>
      <w:bookmarkEnd w:id="429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6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16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16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30" w:name="_Toc64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0"/>
      <w:r/>
      <w:r/>
    </w:p>
    <w:p>
      <w:pPr>
        <w:pStyle w:val="1111"/>
      </w:pPr>
      <w:r/>
      <w:bookmarkStart w:id="431" w:name="_Toc65"/>
      <w:r>
        <w:t xml:space="preserve">Порядок и критерии оценки и сопоставления заявок</w:t>
      </w:r>
      <w:bookmarkEnd w:id="431"/>
      <w:r/>
      <w:r/>
    </w:p>
    <w:p>
      <w:pPr>
        <w:pStyle w:val="1112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24"/>
        </w:rPr>
        <w:footnoteReference w:id="16"/>
      </w:r>
      <w:r>
        <w:t xml:space="preserve">.</w:t>
      </w:r>
      <w:r/>
    </w:p>
    <w:p>
      <w:pPr>
        <w:pStyle w:val="1112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32" w:name="_Toc66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2"/>
      <w:r/>
      <w:r/>
    </w:p>
    <w:p>
      <w:pPr>
        <w:pStyle w:val="1111"/>
      </w:pPr>
      <w:r/>
      <w:bookmarkStart w:id="433" w:name="_Toc67"/>
      <w:r>
        <w:t xml:space="preserve">Пояснения к Обоснованию НМЦ</w:t>
      </w:r>
      <w:bookmarkEnd w:id="433"/>
      <w:r/>
      <w:r/>
    </w:p>
    <w:p>
      <w:pPr>
        <w:pStyle w:val="1112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10"/>
      </w:pPr>
      <w:r/>
      <w:bookmarkStart w:id="434" w:name="_Toc68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4"/>
      <w:r/>
      <w:r/>
    </w:p>
    <w:p>
      <w:pPr>
        <w:pStyle w:val="1111"/>
      </w:pPr>
      <w:r/>
      <w:bookmarkStart w:id="435" w:name="_Toc69"/>
      <w:r>
        <w:t xml:space="preserve">Пояснения к форме Заявки на аккредитацию</w:t>
      </w:r>
      <w:bookmarkEnd w:id="435"/>
      <w:r/>
      <w:r/>
    </w:p>
    <w:p>
      <w:pPr>
        <w:pStyle w:val="1112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12"/>
      </w:pPr>
      <w:r>
        <w:rPr>
          <w:highlight w:val="none"/>
        </w:rPr>
      </w:r>
      <w:r>
        <w:rPr>
          <w:highlight w:val="yellow"/>
        </w:rPr>
        <w:t xml:space="preserve">Участнику необходимо предоставить в составе своей заявки заполненную электронную версию данной формы Заявки на аккредитацию </w:t>
      </w:r>
      <w:r>
        <w:rPr>
          <w:b/>
          <w:highlight w:val="yellow"/>
          <w:u w:val="single"/>
        </w:rPr>
        <w:t xml:space="preserve">в формате Excel.</w:t>
      </w:r>
      <w:r>
        <w:rPr>
          <w:highlight w:val="none"/>
        </w:rPr>
      </w:r>
      <w:r/>
    </w:p>
    <w:p>
      <w:pPr>
        <w:pStyle w:val="1116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Batang">
    <w:panose1 w:val="02000603000000000000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25"/>
      </w:pPr>
      <w:r>
        <w:rPr>
          <w:rStyle w:val="1124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4.18.5</w:t>
      </w:r>
      <w:r>
        <w:fldChar w:fldCharType="end"/>
      </w:r>
      <w:r>
        <w:t xml:space="preserve">.</w:t>
      </w:r>
      <w:r/>
    </w:p>
  </w:footnote>
  <w:footnote w:id="8">
    <w:p>
      <w:pPr>
        <w:pStyle w:val="1122"/>
        <w:ind w:left="567" w:hanging="567"/>
        <w:jc w:val="both"/>
        <w:rPr>
          <w:sz w:val="22"/>
        </w:rPr>
      </w:pPr>
      <w:r>
        <w:rPr>
          <w:rStyle w:val="1124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25"/>
      </w:pPr>
      <w:r>
        <w:rPr>
          <w:rStyle w:val="1124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25"/>
        <w:ind w:left="0" w:firstLine="0"/>
      </w:pPr>
      <w:r/>
      <w:r/>
    </w:p>
  </w:footnote>
  <w:footnote w:id="1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5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6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3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4">
    <w:name w:val="Heading 1 Char"/>
    <w:basedOn w:val="1107"/>
    <w:link w:val="1104"/>
    <w:uiPriority w:val="9"/>
    <w:rPr>
      <w:rFonts w:ascii="Arial" w:hAnsi="Arial" w:eastAsia="Arial" w:cs="Arial"/>
      <w:sz w:val="40"/>
      <w:szCs w:val="40"/>
    </w:rPr>
  </w:style>
  <w:style w:type="character" w:styleId="945">
    <w:name w:val="Heading 2 Char"/>
    <w:basedOn w:val="1107"/>
    <w:link w:val="1105"/>
    <w:uiPriority w:val="9"/>
    <w:rPr>
      <w:rFonts w:ascii="Arial" w:hAnsi="Arial" w:eastAsia="Arial" w:cs="Arial"/>
      <w:sz w:val="34"/>
    </w:rPr>
  </w:style>
  <w:style w:type="character" w:styleId="946">
    <w:name w:val="Heading 3 Char"/>
    <w:basedOn w:val="1107"/>
    <w:link w:val="1106"/>
    <w:uiPriority w:val="9"/>
    <w:rPr>
      <w:rFonts w:ascii="Arial" w:hAnsi="Arial" w:eastAsia="Arial" w:cs="Arial"/>
      <w:sz w:val="30"/>
      <w:szCs w:val="30"/>
    </w:rPr>
  </w:style>
  <w:style w:type="paragraph" w:styleId="947">
    <w:name w:val="Heading 4"/>
    <w:basedOn w:val="1103"/>
    <w:next w:val="1103"/>
    <w:link w:val="9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8">
    <w:name w:val="Heading 4 Char"/>
    <w:basedOn w:val="1107"/>
    <w:link w:val="947"/>
    <w:uiPriority w:val="9"/>
    <w:rPr>
      <w:rFonts w:ascii="Arial" w:hAnsi="Arial" w:eastAsia="Arial" w:cs="Arial"/>
      <w:b/>
      <w:bCs/>
      <w:sz w:val="26"/>
      <w:szCs w:val="26"/>
    </w:rPr>
  </w:style>
  <w:style w:type="paragraph" w:styleId="949">
    <w:name w:val="Heading 5"/>
    <w:basedOn w:val="1103"/>
    <w:next w:val="1103"/>
    <w:link w:val="9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0">
    <w:name w:val="Heading 5 Char"/>
    <w:basedOn w:val="1107"/>
    <w:link w:val="949"/>
    <w:uiPriority w:val="9"/>
    <w:rPr>
      <w:rFonts w:ascii="Arial" w:hAnsi="Arial" w:eastAsia="Arial" w:cs="Arial"/>
      <w:b/>
      <w:bCs/>
      <w:sz w:val="24"/>
      <w:szCs w:val="24"/>
    </w:rPr>
  </w:style>
  <w:style w:type="paragraph" w:styleId="951">
    <w:name w:val="Heading 6"/>
    <w:basedOn w:val="1103"/>
    <w:next w:val="1103"/>
    <w:link w:val="9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2">
    <w:name w:val="Heading 6 Char"/>
    <w:basedOn w:val="1107"/>
    <w:link w:val="951"/>
    <w:uiPriority w:val="9"/>
    <w:rPr>
      <w:rFonts w:ascii="Arial" w:hAnsi="Arial" w:eastAsia="Arial" w:cs="Arial"/>
      <w:b/>
      <w:bCs/>
      <w:sz w:val="22"/>
      <w:szCs w:val="22"/>
    </w:rPr>
  </w:style>
  <w:style w:type="paragraph" w:styleId="953">
    <w:name w:val="Heading 7"/>
    <w:basedOn w:val="1103"/>
    <w:next w:val="1103"/>
    <w:link w:val="9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4">
    <w:name w:val="Heading 7 Char"/>
    <w:basedOn w:val="1107"/>
    <w:link w:val="9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5">
    <w:name w:val="Heading 8"/>
    <w:basedOn w:val="1103"/>
    <w:next w:val="1103"/>
    <w:link w:val="9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6">
    <w:name w:val="Heading 8 Char"/>
    <w:basedOn w:val="1107"/>
    <w:link w:val="955"/>
    <w:uiPriority w:val="9"/>
    <w:rPr>
      <w:rFonts w:ascii="Arial" w:hAnsi="Arial" w:eastAsia="Arial" w:cs="Arial"/>
      <w:i/>
      <w:iCs/>
      <w:sz w:val="22"/>
      <w:szCs w:val="22"/>
    </w:rPr>
  </w:style>
  <w:style w:type="paragraph" w:styleId="957">
    <w:name w:val="Heading 9"/>
    <w:basedOn w:val="1103"/>
    <w:next w:val="1103"/>
    <w:link w:val="9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8">
    <w:name w:val="Heading 9 Char"/>
    <w:basedOn w:val="1107"/>
    <w:link w:val="957"/>
    <w:uiPriority w:val="9"/>
    <w:rPr>
      <w:rFonts w:ascii="Arial" w:hAnsi="Arial" w:eastAsia="Arial" w:cs="Arial"/>
      <w:i/>
      <w:iCs/>
      <w:sz w:val="21"/>
      <w:szCs w:val="21"/>
    </w:rPr>
  </w:style>
  <w:style w:type="paragraph" w:styleId="959">
    <w:name w:val="No Spacing"/>
    <w:uiPriority w:val="1"/>
    <w:qFormat/>
    <w:pPr>
      <w:spacing w:before="0" w:after="0" w:line="240" w:lineRule="auto"/>
    </w:pPr>
  </w:style>
  <w:style w:type="paragraph" w:styleId="960">
    <w:name w:val="Title"/>
    <w:basedOn w:val="1103"/>
    <w:next w:val="1103"/>
    <w:link w:val="9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1">
    <w:name w:val="Title Char"/>
    <w:basedOn w:val="1107"/>
    <w:link w:val="960"/>
    <w:uiPriority w:val="10"/>
    <w:rPr>
      <w:sz w:val="48"/>
      <w:szCs w:val="48"/>
    </w:rPr>
  </w:style>
  <w:style w:type="paragraph" w:styleId="962">
    <w:name w:val="Subtitle"/>
    <w:basedOn w:val="1103"/>
    <w:next w:val="1103"/>
    <w:link w:val="963"/>
    <w:uiPriority w:val="11"/>
    <w:qFormat/>
    <w:pPr>
      <w:spacing w:before="200" w:after="200"/>
    </w:pPr>
    <w:rPr>
      <w:sz w:val="24"/>
      <w:szCs w:val="24"/>
    </w:rPr>
  </w:style>
  <w:style w:type="character" w:styleId="963">
    <w:name w:val="Subtitle Char"/>
    <w:basedOn w:val="1107"/>
    <w:link w:val="962"/>
    <w:uiPriority w:val="11"/>
    <w:rPr>
      <w:sz w:val="24"/>
      <w:szCs w:val="24"/>
    </w:rPr>
  </w:style>
  <w:style w:type="paragraph" w:styleId="964">
    <w:name w:val="Quote"/>
    <w:basedOn w:val="1103"/>
    <w:next w:val="1103"/>
    <w:link w:val="965"/>
    <w:uiPriority w:val="29"/>
    <w:qFormat/>
    <w:pPr>
      <w:ind w:left="720" w:right="720"/>
    </w:pPr>
    <w:rPr>
      <w:i/>
    </w:rPr>
  </w:style>
  <w:style w:type="character" w:styleId="965">
    <w:name w:val="Quote Char"/>
    <w:link w:val="964"/>
    <w:uiPriority w:val="29"/>
    <w:rPr>
      <w:i/>
    </w:rPr>
  </w:style>
  <w:style w:type="paragraph" w:styleId="966">
    <w:name w:val="Intense Quote"/>
    <w:basedOn w:val="1103"/>
    <w:next w:val="1103"/>
    <w:link w:val="9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7">
    <w:name w:val="Intense Quote Char"/>
    <w:link w:val="966"/>
    <w:uiPriority w:val="30"/>
    <w:rPr>
      <w:i/>
    </w:rPr>
  </w:style>
  <w:style w:type="character" w:styleId="968">
    <w:name w:val="Header Char"/>
    <w:basedOn w:val="1107"/>
    <w:link w:val="1117"/>
    <w:uiPriority w:val="99"/>
  </w:style>
  <w:style w:type="character" w:styleId="969">
    <w:name w:val="Footer Char"/>
    <w:basedOn w:val="1107"/>
    <w:link w:val="1119"/>
    <w:uiPriority w:val="99"/>
  </w:style>
  <w:style w:type="paragraph" w:styleId="970">
    <w:name w:val="Caption"/>
    <w:basedOn w:val="1103"/>
    <w:next w:val="1103"/>
    <w:link w:val="9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1">
    <w:name w:val="Caption Char"/>
    <w:basedOn w:val="970"/>
    <w:link w:val="1119"/>
    <w:uiPriority w:val="99"/>
  </w:style>
  <w:style w:type="table" w:styleId="972">
    <w:name w:val="Table Grid Light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3">
    <w:name w:val="Plain Table 1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4">
    <w:name w:val="Plain Table 2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5">
    <w:name w:val="Plain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6">
    <w:name w:val="Plain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Plain Table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8">
    <w:name w:val="Grid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0">
    <w:name w:val="Grid Table 4 - Accent 1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1">
    <w:name w:val="Grid Table 4 - Accent 2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2">
    <w:name w:val="Grid Table 4 - Accent 3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3">
    <w:name w:val="Grid Table 4 - Accent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4">
    <w:name w:val="Grid Table 4 - Accent 5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5">
    <w:name w:val="Grid Table 4 - Accent 6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6">
    <w:name w:val="Grid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7">
    <w:name w:val="Grid Table 5 Dark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9">
    <w:name w:val="Grid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0">
    <w:name w:val="Grid Table 5 Dark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2">
    <w:name w:val="Grid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3">
    <w:name w:val="Grid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4">
    <w:name w:val="Grid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5">
    <w:name w:val="Grid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6">
    <w:name w:val="Grid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7">
    <w:name w:val="Grid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8">
    <w:name w:val="Grid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9">
    <w:name w:val="Grid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0">
    <w:name w:val="Grid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5">
    <w:name w:val="List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6">
    <w:name w:val="List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7">
    <w:name w:val="List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8">
    <w:name w:val="List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9">
    <w:name w:val="List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0">
    <w:name w:val="List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1">
    <w:name w:val="List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3">
    <w:name w:val="List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4">
    <w:name w:val="List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5">
    <w:name w:val="List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6">
    <w:name w:val="List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7">
    <w:name w:val="List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8">
    <w:name w:val="List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9">
    <w:name w:val="List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0">
    <w:name w:val="List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1">
    <w:name w:val="List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2">
    <w:name w:val="List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3">
    <w:name w:val="List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4">
    <w:name w:val="List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5">
    <w:name w:val="List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6">
    <w:name w:val="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7">
    <w:name w:val="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8">
    <w:name w:val="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9">
    <w:name w:val="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0">
    <w:name w:val="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1">
    <w:name w:val="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2">
    <w:name w:val="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3">
    <w:name w:val="Bordered &amp; 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4">
    <w:name w:val="Bordered &amp; 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5">
    <w:name w:val="Bordered &amp; 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6">
    <w:name w:val="Bordered &amp; 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7">
    <w:name w:val="Bordered &amp; 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8">
    <w:name w:val="Bordered &amp; 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9">
    <w:name w:val="Bordered &amp; 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0">
    <w:name w:val="Bordered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1">
    <w:name w:val="Bordered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2">
    <w:name w:val="Bordered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3">
    <w:name w:val="Bordered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4">
    <w:name w:val="Bordered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5">
    <w:name w:val="Bordered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6">
    <w:name w:val="Bordered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7">
    <w:name w:val="Footnote Text Char"/>
    <w:link w:val="1122"/>
    <w:uiPriority w:val="99"/>
    <w:rPr>
      <w:sz w:val="18"/>
    </w:rPr>
  </w:style>
  <w:style w:type="paragraph" w:styleId="1098">
    <w:name w:val="endnote text"/>
    <w:basedOn w:val="1103"/>
    <w:link w:val="1099"/>
    <w:uiPriority w:val="99"/>
    <w:semiHidden/>
    <w:unhideWhenUsed/>
    <w:pPr>
      <w:spacing w:after="0" w:line="240" w:lineRule="auto"/>
    </w:pPr>
    <w:rPr>
      <w:sz w:val="20"/>
    </w:rPr>
  </w:style>
  <w:style w:type="character" w:styleId="1099">
    <w:name w:val="Endnote Text Char"/>
    <w:link w:val="1098"/>
    <w:uiPriority w:val="99"/>
    <w:rPr>
      <w:sz w:val="20"/>
    </w:rPr>
  </w:style>
  <w:style w:type="character" w:styleId="1100">
    <w:name w:val="endnote reference"/>
    <w:basedOn w:val="1107"/>
    <w:uiPriority w:val="99"/>
    <w:semiHidden/>
    <w:unhideWhenUsed/>
    <w:rPr>
      <w:vertAlign w:val="superscript"/>
    </w:rPr>
  </w:style>
  <w:style w:type="paragraph" w:styleId="1101">
    <w:name w:val="TOC Heading"/>
    <w:uiPriority w:val="39"/>
    <w:unhideWhenUsed/>
  </w:style>
  <w:style w:type="paragraph" w:styleId="1102">
    <w:name w:val="table of figures"/>
    <w:basedOn w:val="1103"/>
    <w:next w:val="1103"/>
    <w:uiPriority w:val="99"/>
    <w:unhideWhenUsed/>
    <w:pPr>
      <w:spacing w:after="0" w:afterAutospacing="0"/>
    </w:pPr>
  </w:style>
  <w:style w:type="paragraph" w:styleId="1103" w:default="1">
    <w:name w:val="Normal"/>
    <w:qFormat/>
  </w:style>
  <w:style w:type="paragraph" w:styleId="1104">
    <w:name w:val="Heading 1"/>
    <w:basedOn w:val="1103"/>
    <w:next w:val="1103"/>
    <w:link w:val="1155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05">
    <w:name w:val="Heading 2"/>
    <w:basedOn w:val="1103"/>
    <w:next w:val="1103"/>
    <w:link w:val="1156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06">
    <w:name w:val="Heading 3"/>
    <w:basedOn w:val="1103"/>
    <w:next w:val="1103"/>
    <w:link w:val="1157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07" w:default="1">
    <w:name w:val="Default Paragraph Font"/>
    <w:uiPriority w:val="1"/>
    <w:semiHidden/>
    <w:unhideWhenUsed/>
  </w:style>
  <w:style w:type="table" w:styleId="11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9" w:default="1">
    <w:name w:val="No List"/>
    <w:uiPriority w:val="99"/>
    <w:semiHidden/>
    <w:unhideWhenUsed/>
  </w:style>
  <w:style w:type="paragraph" w:styleId="1110" w:customStyle="1">
    <w:name w:val="[РГ] Раздел"/>
    <w:basedOn w:val="1103"/>
    <w:next w:val="111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1" w:customStyle="1">
    <w:name w:val="[РГ] Подраздел"/>
    <w:basedOn w:val="1103"/>
    <w:next w:val="111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2" w:customStyle="1">
    <w:name w:val="[РГ] Пункт"/>
    <w:basedOn w:val="1103"/>
    <w:qFormat/>
    <w:pPr>
      <w:numPr>
        <w:ilvl w:val="2"/>
        <w:numId w:val="1"/>
      </w:numPr>
      <w:jc w:val="both"/>
      <w:outlineLvl w:val="2"/>
    </w:pPr>
  </w:style>
  <w:style w:type="paragraph" w:styleId="1113" w:customStyle="1">
    <w:name w:val="[РГ] Подпункт"/>
    <w:basedOn w:val="1103"/>
    <w:qFormat/>
    <w:pPr>
      <w:numPr>
        <w:ilvl w:val="3"/>
        <w:numId w:val="1"/>
      </w:numPr>
      <w:jc w:val="both"/>
      <w:outlineLvl w:val="3"/>
    </w:pPr>
  </w:style>
  <w:style w:type="paragraph" w:styleId="1114" w:customStyle="1">
    <w:name w:val="[РГ] Перечисление"/>
    <w:basedOn w:val="1103"/>
    <w:qFormat/>
    <w:pPr>
      <w:numPr>
        <w:ilvl w:val="4"/>
        <w:numId w:val="1"/>
      </w:numPr>
      <w:jc w:val="both"/>
      <w:outlineLvl w:val="4"/>
    </w:pPr>
  </w:style>
  <w:style w:type="paragraph" w:styleId="1115" w:customStyle="1">
    <w:name w:val="[РГ] Заголовок"/>
    <w:basedOn w:val="1103"/>
    <w:next w:val="111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6" w:customStyle="1">
    <w:name w:val="[РГ] Текст"/>
    <w:basedOn w:val="1103"/>
    <w:qFormat/>
    <w:pPr>
      <w:jc w:val="both"/>
    </w:pPr>
  </w:style>
  <w:style w:type="paragraph" w:styleId="1117">
    <w:name w:val="Header"/>
    <w:basedOn w:val="1103"/>
    <w:link w:val="1118"/>
    <w:uiPriority w:val="99"/>
    <w:unhideWhenUsed/>
    <w:pPr>
      <w:jc w:val="center"/>
      <w:spacing w:before="0" w:after="120"/>
    </w:pPr>
  </w:style>
  <w:style w:type="character" w:styleId="1118" w:customStyle="1">
    <w:name w:val="Верхний колонтитул Знак"/>
    <w:basedOn w:val="1107"/>
    <w:link w:val="1117"/>
    <w:uiPriority w:val="99"/>
  </w:style>
  <w:style w:type="paragraph" w:styleId="1119">
    <w:name w:val="Footer"/>
    <w:basedOn w:val="1103"/>
    <w:link w:val="1120"/>
    <w:unhideWhenUsed/>
    <w:pPr>
      <w:jc w:val="right"/>
    </w:pPr>
  </w:style>
  <w:style w:type="character" w:styleId="1120" w:customStyle="1">
    <w:name w:val="Нижний колонтитул Знак"/>
    <w:basedOn w:val="1107"/>
    <w:link w:val="1119"/>
    <w:uiPriority w:val="99"/>
  </w:style>
  <w:style w:type="character" w:styleId="1121" w:customStyle="1">
    <w:name w:val="[РГ] Инструкция для организатора"/>
    <w:basedOn w:val="1107"/>
    <w:uiPriority w:val="1"/>
    <w:qFormat/>
    <w:rPr>
      <w:i/>
      <w:iCs/>
      <w:shd w:val="clear" w:color="auto" w:fill="ffff99"/>
      <w:lang w:val="ru-RU"/>
    </w:rPr>
  </w:style>
  <w:style w:type="paragraph" w:styleId="1122">
    <w:name w:val="footnote text"/>
    <w:basedOn w:val="1103"/>
    <w:link w:val="1123"/>
    <w:uiPriority w:val="99"/>
    <w:semiHidden/>
    <w:unhideWhenUsed/>
    <w:pPr>
      <w:spacing w:before="0"/>
    </w:pPr>
    <w:rPr>
      <w:sz w:val="20"/>
      <w:szCs w:val="20"/>
    </w:rPr>
  </w:style>
  <w:style w:type="character" w:styleId="1123" w:customStyle="1">
    <w:name w:val="Текст сноски Знак"/>
    <w:basedOn w:val="1107"/>
    <w:link w:val="1122"/>
    <w:uiPriority w:val="99"/>
    <w:semiHidden/>
    <w:rPr>
      <w:sz w:val="20"/>
      <w:szCs w:val="20"/>
    </w:rPr>
  </w:style>
  <w:style w:type="character" w:styleId="1124">
    <w:name w:val="footnote reference"/>
    <w:basedOn w:val="1107"/>
    <w:unhideWhenUsed/>
    <w:rPr>
      <w:vertAlign w:val="superscript"/>
    </w:rPr>
  </w:style>
  <w:style w:type="paragraph" w:styleId="1125" w:customStyle="1">
    <w:name w:val="[РГ] Сноска"/>
    <w:basedOn w:val="1122"/>
    <w:qFormat/>
    <w:pPr>
      <w:ind w:left="567" w:hanging="567"/>
      <w:jc w:val="both"/>
      <w:spacing w:before="80"/>
    </w:pPr>
    <w:rPr>
      <w:sz w:val="22"/>
    </w:rPr>
  </w:style>
  <w:style w:type="character" w:styleId="1126">
    <w:name w:val="Hyperlink"/>
    <w:basedOn w:val="1107"/>
    <w:uiPriority w:val="99"/>
    <w:unhideWhenUsed/>
    <w:rPr>
      <w:color w:val="0563c1" w:themeColor="hyperlink"/>
      <w:u w:val="single"/>
    </w:rPr>
  </w:style>
  <w:style w:type="character" w:styleId="1127">
    <w:name w:val="Unresolved Mention"/>
    <w:basedOn w:val="1107"/>
    <w:uiPriority w:val="99"/>
    <w:semiHidden/>
    <w:unhideWhenUsed/>
    <w:rPr>
      <w:color w:val="605e5c"/>
      <w:shd w:val="clear" w:color="auto" w:fill="e1dfdd"/>
    </w:rPr>
  </w:style>
  <w:style w:type="paragraph" w:styleId="1128">
    <w:name w:val="toc 2"/>
    <w:basedOn w:val="1103"/>
    <w:next w:val="11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9">
    <w:name w:val="toc 1"/>
    <w:basedOn w:val="1103"/>
    <w:next w:val="11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0">
    <w:name w:val="toc 3"/>
    <w:basedOn w:val="1103"/>
    <w:next w:val="11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1">
    <w:name w:val="toc 4"/>
    <w:basedOn w:val="1103"/>
    <w:next w:val="11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2">
    <w:name w:val="toc 5"/>
    <w:basedOn w:val="1103"/>
    <w:next w:val="11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6"/>
    <w:basedOn w:val="1103"/>
    <w:next w:val="11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7"/>
    <w:basedOn w:val="1103"/>
    <w:next w:val="11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8"/>
    <w:basedOn w:val="1103"/>
    <w:next w:val="11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9"/>
    <w:basedOn w:val="1103"/>
    <w:next w:val="11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7" w:customStyle="1">
    <w:name w:val="[РГ] Таблица"/>
    <w:basedOn w:val="110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38">
    <w:name w:val="Table Grid"/>
    <w:basedOn w:val="110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9">
    <w:name w:val="Placeholder Text"/>
    <w:basedOn w:val="1107"/>
    <w:uiPriority w:val="99"/>
    <w:semiHidden/>
    <w:rPr>
      <w:color w:val="808080"/>
    </w:rPr>
  </w:style>
  <w:style w:type="character" w:styleId="1140" w:customStyle="1">
    <w:name w:val="[РГ] Отсылка"/>
    <w:basedOn w:val="110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1">
    <w:name w:val="annotation reference"/>
    <w:basedOn w:val="1107"/>
    <w:uiPriority w:val="99"/>
    <w:unhideWhenUsed/>
    <w:rPr>
      <w:sz w:val="16"/>
      <w:szCs w:val="16"/>
    </w:rPr>
  </w:style>
  <w:style w:type="paragraph" w:styleId="1142">
    <w:name w:val="annotation text"/>
    <w:basedOn w:val="1103"/>
    <w:link w:val="1143"/>
    <w:uiPriority w:val="99"/>
    <w:unhideWhenUsed/>
    <w:rPr>
      <w:sz w:val="20"/>
      <w:szCs w:val="20"/>
    </w:rPr>
  </w:style>
  <w:style w:type="character" w:styleId="1143" w:customStyle="1">
    <w:name w:val="Текст примечания Знак"/>
    <w:basedOn w:val="1107"/>
    <w:link w:val="1142"/>
    <w:uiPriority w:val="99"/>
    <w:rPr>
      <w:sz w:val="20"/>
      <w:szCs w:val="20"/>
    </w:rPr>
  </w:style>
  <w:style w:type="paragraph" w:styleId="1144">
    <w:name w:val="annotation subject"/>
    <w:basedOn w:val="1142"/>
    <w:next w:val="1142"/>
    <w:link w:val="1145"/>
    <w:uiPriority w:val="99"/>
    <w:semiHidden/>
    <w:unhideWhenUsed/>
    <w:rPr>
      <w:b/>
      <w:bCs/>
    </w:rPr>
  </w:style>
  <w:style w:type="character" w:styleId="1145" w:customStyle="1">
    <w:name w:val="Тема примечания Знак"/>
    <w:basedOn w:val="1143"/>
    <w:link w:val="1144"/>
    <w:uiPriority w:val="99"/>
    <w:semiHidden/>
    <w:rPr>
      <w:b/>
      <w:bCs/>
      <w:sz w:val="20"/>
      <w:szCs w:val="20"/>
    </w:rPr>
  </w:style>
  <w:style w:type="paragraph" w:styleId="1146" w:customStyle="1">
    <w:name w:val="[РГ] Альтернатива / Дополнение"/>
    <w:basedOn w:val="1116"/>
    <w:next w:val="1116"/>
    <w:qFormat/>
    <w:rPr>
      <w:i/>
      <w:shd w:val="clear" w:color="auto" w:fill="ccecff"/>
    </w:rPr>
  </w:style>
  <w:style w:type="character" w:styleId="1147" w:customStyle="1">
    <w:name w:val="[РГ] Инструкция для участника"/>
    <w:basedOn w:val="1107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8">
    <w:name w:val="Revision"/>
    <w:hidden/>
    <w:uiPriority w:val="99"/>
    <w:semiHidden/>
    <w:pPr>
      <w:spacing w:before="0"/>
    </w:pPr>
  </w:style>
  <w:style w:type="character" w:styleId="1149">
    <w:name w:val="FollowedHyperlink"/>
    <w:basedOn w:val="1107"/>
    <w:uiPriority w:val="99"/>
    <w:semiHidden/>
    <w:unhideWhenUsed/>
    <w:rPr>
      <w:color w:val="954f72" w:themeColor="followedHyperlink"/>
      <w:u w:val="single"/>
    </w:rPr>
  </w:style>
  <w:style w:type="paragraph" w:styleId="1150">
    <w:name w:val="List Paragraph"/>
    <w:basedOn w:val="1103"/>
    <w:uiPriority w:val="34"/>
    <w:qFormat/>
    <w:pPr>
      <w:contextualSpacing/>
      <w:ind w:left="720"/>
    </w:pPr>
  </w:style>
  <w:style w:type="paragraph" w:styleId="1151" w:customStyle="1">
    <w:name w:val="Пункт"/>
    <w:basedOn w:val="1103"/>
    <w:link w:val="1152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52" w:customStyle="1">
    <w:name w:val="Пункт Знак2"/>
    <w:link w:val="1151"/>
    <w:rPr>
      <w:rFonts w:eastAsia="Times New Roman" w:cs="Times New Roman"/>
      <w:szCs w:val="26"/>
      <w:lang w:eastAsia="ru-RU"/>
    </w:rPr>
  </w:style>
  <w:style w:type="paragraph" w:styleId="1153" w:customStyle="1">
    <w:name w:val="Подпункт"/>
    <w:basedOn w:val="1151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4" w:customStyle="1">
    <w:name w:val="Подподпункт"/>
    <w:basedOn w:val="1153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55" w:customStyle="1">
    <w:name w:val="Заголовок 1 Знак"/>
    <w:basedOn w:val="1107"/>
    <w:link w:val="1104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6" w:customStyle="1">
    <w:name w:val="Заголовок 2 Знак"/>
    <w:basedOn w:val="1107"/>
    <w:link w:val="1105"/>
    <w:rPr>
      <w:rFonts w:eastAsia="Times New Roman" w:cs="Times New Roman"/>
      <w:b/>
      <w:sz w:val="32"/>
      <w:szCs w:val="26"/>
      <w:lang w:eastAsia="ru-RU"/>
    </w:rPr>
  </w:style>
  <w:style w:type="character" w:styleId="1157" w:customStyle="1">
    <w:name w:val="Заголовок 3 Знак"/>
    <w:basedOn w:val="1107"/>
    <w:link w:val="1106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58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9" w:customStyle="1">
    <w:name w:val="комментарий"/>
    <w:qFormat/>
    <w:rPr>
      <w:b/>
      <w:i/>
      <w:shd w:val="clear" w:color="auto" w:fill="ffff99"/>
    </w:rPr>
  </w:style>
  <w:style w:type="paragraph" w:styleId="1160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61" w:customStyle="1">
    <w:name w:val="Main 14"/>
    <w:uiPriority w:val="99"/>
    <w:qFormat/>
    <w:pPr>
      <w:numPr>
        <w:ilvl w:val="0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://www.roseltorg.ru/knowledge_db/docs/documents" TargetMode="External"/><Relationship Id="rId14" Type="http://schemas.openxmlformats.org/officeDocument/2006/relationships/hyperlink" Target="mailto:dgk@dgk.ru" TargetMode="External"/><Relationship Id="rId15" Type="http://schemas.openxmlformats.org/officeDocument/2006/relationships/hyperlink" Target="mailto:fedyasheva-ig@dgk.ru" TargetMode="External"/><Relationship Id="rId16" Type="http://schemas.openxmlformats.org/officeDocument/2006/relationships/hyperlink" Target="mailto:fedyasheva-ig@dgk.ru" TargetMode="External"/><Relationship Id="rId17" Type="http://schemas.openxmlformats.org/officeDocument/2006/relationships/image" Target="media/image2.png"/><Relationship Id="rId18" Type="http://schemas.openxmlformats.org/officeDocument/2006/relationships/image" Target="media/media1.svg"/><Relationship Id="rId19" Type="http://schemas.openxmlformats.org/officeDocument/2006/relationships/image" Target="media/image3.png"/><Relationship Id="rId20" Type="http://schemas.openxmlformats.org/officeDocument/2006/relationships/image" Target="media/media2.svg"/><Relationship Id="rId21" Type="http://schemas.openxmlformats.org/officeDocument/2006/relationships/image" Target="media/image4.png"/><Relationship Id="rId22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sorokoletova_as</cp:lastModifiedBy>
  <cp:revision>185</cp:revision>
  <dcterms:created xsi:type="dcterms:W3CDTF">2023-08-16T07:54:00Z</dcterms:created>
  <dcterms:modified xsi:type="dcterms:W3CDTF">2026-06-22T04:29:27Z</dcterms:modified>
</cp:coreProperties>
</file>